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0E80">
      <w:pPr>
        <w:jc w:val="center"/>
      </w:pPr>
    </w:p>
    <w:p w14:paraId="75B49126">
      <w:pPr>
        <w:jc w:val="center"/>
      </w:pPr>
    </w:p>
    <w:p w14:paraId="2CD28E6D">
      <w:pPr>
        <w:jc w:val="center"/>
      </w:pPr>
    </w:p>
    <w:p w14:paraId="222F9067">
      <w:pPr>
        <w:jc w:val="center"/>
      </w:pPr>
    </w:p>
    <w:p w14:paraId="16B85EA3">
      <w:pPr>
        <w:jc w:val="center"/>
      </w:pPr>
    </w:p>
    <w:p w14:paraId="1226037B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09172">
      <w:pPr>
        <w:jc w:val="center"/>
      </w:pPr>
    </w:p>
    <w:p w14:paraId="0C14DF36">
      <w:pPr>
        <w:jc w:val="center"/>
      </w:pPr>
    </w:p>
    <w:p w14:paraId="4E87A945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</w:t>
      </w:r>
      <w:r>
        <w:rPr>
          <w:rFonts w:hint="eastAsia"/>
          <w:b/>
          <w:sz w:val="52"/>
          <w:szCs w:val="52"/>
          <w:lang w:val="en-US" w:eastAsia="zh-CN"/>
        </w:rPr>
        <w:t>再</w:t>
      </w:r>
      <w:r>
        <w:rPr>
          <w:rFonts w:hint="eastAsia"/>
          <w:b/>
          <w:sz w:val="52"/>
          <w:szCs w:val="52"/>
        </w:rPr>
        <w:t>认证农场调查表</w:t>
      </w:r>
    </w:p>
    <w:p w14:paraId="397AA99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32"/>
          <w:szCs w:val="32"/>
        </w:rPr>
        <w:t>（蜜蜂养殖）</w:t>
      </w:r>
    </w:p>
    <w:p w14:paraId="41E6E1DA">
      <w:pPr>
        <w:jc w:val="center"/>
        <w:rPr>
          <w:b/>
          <w:sz w:val="44"/>
          <w:szCs w:val="44"/>
        </w:rPr>
      </w:pPr>
    </w:p>
    <w:p w14:paraId="66649585">
      <w:pPr>
        <w:jc w:val="center"/>
        <w:rPr>
          <w:b/>
          <w:sz w:val="44"/>
          <w:szCs w:val="44"/>
        </w:rPr>
      </w:pPr>
    </w:p>
    <w:p w14:paraId="5B0145C3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</w:t>
      </w:r>
    </w:p>
    <w:p w14:paraId="4B523171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350C3E9A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     </w:t>
      </w:r>
    </w:p>
    <w:p w14:paraId="7A5CF07E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19BC327F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3C9F9BEA">
      <w:pPr>
        <w:jc w:val="center"/>
        <w:rPr>
          <w:b/>
          <w:sz w:val="44"/>
          <w:szCs w:val="44"/>
        </w:rPr>
      </w:pPr>
    </w:p>
    <w:p w14:paraId="4191A09F">
      <w:pPr>
        <w:jc w:val="center"/>
        <w:rPr>
          <w:b/>
          <w:sz w:val="44"/>
          <w:szCs w:val="44"/>
        </w:rPr>
      </w:pPr>
    </w:p>
    <w:p w14:paraId="6392D0CF">
      <w:pPr>
        <w:jc w:val="center"/>
        <w:rPr>
          <w:b/>
          <w:sz w:val="44"/>
          <w:szCs w:val="44"/>
        </w:rPr>
      </w:pPr>
    </w:p>
    <w:p w14:paraId="29C78764">
      <w:pPr>
        <w:jc w:val="center"/>
        <w:rPr>
          <w:b/>
          <w:sz w:val="44"/>
          <w:szCs w:val="44"/>
        </w:rPr>
      </w:pPr>
    </w:p>
    <w:p w14:paraId="5802BBC7">
      <w:pPr>
        <w:jc w:val="center"/>
        <w:rPr>
          <w:b/>
          <w:sz w:val="44"/>
          <w:szCs w:val="44"/>
        </w:rPr>
      </w:pPr>
    </w:p>
    <w:p w14:paraId="12F47B71">
      <w:pPr>
        <w:jc w:val="center"/>
        <w:rPr>
          <w:b/>
          <w:sz w:val="44"/>
          <w:szCs w:val="44"/>
        </w:rPr>
      </w:pPr>
    </w:p>
    <w:p w14:paraId="6824C7AC">
      <w:pPr>
        <w:jc w:val="center"/>
        <w:rPr>
          <w:b/>
          <w:sz w:val="44"/>
          <w:szCs w:val="44"/>
        </w:rPr>
      </w:pPr>
    </w:p>
    <w:p w14:paraId="45463B9F">
      <w:pPr>
        <w:jc w:val="center"/>
        <w:rPr>
          <w:b/>
          <w:sz w:val="44"/>
          <w:szCs w:val="44"/>
        </w:rPr>
      </w:pPr>
    </w:p>
    <w:p w14:paraId="6B26415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077EF7D5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</w:t>
      </w:r>
    </w:p>
    <w:p w14:paraId="0FFC9CFF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2A99BEA2">
      <w:pPr>
        <w:jc w:val="center"/>
        <w:rPr>
          <w:sz w:val="18"/>
          <w:szCs w:val="18"/>
        </w:rPr>
      </w:pPr>
    </w:p>
    <w:p w14:paraId="15A9B4AA">
      <w:pPr>
        <w:jc w:val="center"/>
        <w:rPr>
          <w:sz w:val="18"/>
          <w:szCs w:val="18"/>
        </w:rPr>
      </w:pPr>
    </w:p>
    <w:p w14:paraId="7E96DAF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50E098A1">
      <w:pPr>
        <w:spacing w:line="360" w:lineRule="auto"/>
        <w:jc w:val="center"/>
        <w:rPr>
          <w:b/>
          <w:sz w:val="28"/>
          <w:szCs w:val="28"/>
        </w:rPr>
      </w:pPr>
    </w:p>
    <w:p w14:paraId="1574A228">
      <w:pPr>
        <w:numPr>
          <w:ilvl w:val="0"/>
          <w:numId w:val="3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0A7007DF"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636A4A22">
      <w:pPr>
        <w:numPr>
          <w:ilvl w:val="0"/>
          <w:numId w:val="3"/>
        </w:num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270DE307">
      <w:pPr>
        <w:numPr>
          <w:ilvl w:val="0"/>
          <w:numId w:val="3"/>
        </w:num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61DEC181">
      <w:pPr>
        <w:spacing w:line="360" w:lineRule="auto"/>
        <w:rPr>
          <w:rFonts w:ascii="宋体" w:hAnsi="宋体"/>
          <w:sz w:val="28"/>
          <w:szCs w:val="28"/>
        </w:rPr>
      </w:pPr>
    </w:p>
    <w:p w14:paraId="6DF0FCDD">
      <w:pPr>
        <w:spacing w:line="360" w:lineRule="auto"/>
        <w:rPr>
          <w:rFonts w:ascii="宋体" w:hAnsi="宋体"/>
          <w:sz w:val="28"/>
          <w:szCs w:val="28"/>
        </w:rPr>
      </w:pPr>
    </w:p>
    <w:p w14:paraId="311F7007">
      <w:pPr>
        <w:spacing w:line="360" w:lineRule="auto"/>
        <w:rPr>
          <w:rFonts w:ascii="宋体" w:hAnsi="宋体"/>
          <w:sz w:val="28"/>
          <w:szCs w:val="28"/>
        </w:rPr>
      </w:pPr>
    </w:p>
    <w:p w14:paraId="2E040686">
      <w:pPr>
        <w:spacing w:line="360" w:lineRule="auto"/>
        <w:rPr>
          <w:rFonts w:ascii="宋体" w:hAnsi="宋体"/>
          <w:sz w:val="28"/>
          <w:szCs w:val="28"/>
        </w:rPr>
      </w:pPr>
    </w:p>
    <w:p w14:paraId="2314B613">
      <w:pPr>
        <w:spacing w:line="360" w:lineRule="auto"/>
        <w:rPr>
          <w:rFonts w:ascii="宋体" w:hAnsi="宋体"/>
          <w:sz w:val="28"/>
          <w:szCs w:val="28"/>
        </w:rPr>
      </w:pPr>
    </w:p>
    <w:p w14:paraId="1EBE0306">
      <w:pPr>
        <w:spacing w:line="360" w:lineRule="auto"/>
        <w:rPr>
          <w:rFonts w:ascii="宋体" w:hAnsi="宋体"/>
          <w:sz w:val="28"/>
          <w:szCs w:val="28"/>
        </w:rPr>
      </w:pPr>
    </w:p>
    <w:p w14:paraId="30D51167">
      <w:pPr>
        <w:spacing w:line="360" w:lineRule="auto"/>
        <w:rPr>
          <w:rFonts w:ascii="宋体" w:hAnsi="宋体"/>
          <w:sz w:val="28"/>
          <w:szCs w:val="28"/>
        </w:rPr>
      </w:pPr>
    </w:p>
    <w:p w14:paraId="7BCC9A14">
      <w:pPr>
        <w:spacing w:line="360" w:lineRule="auto"/>
        <w:rPr>
          <w:rFonts w:ascii="宋体" w:hAnsi="宋体"/>
          <w:sz w:val="28"/>
          <w:szCs w:val="28"/>
        </w:rPr>
      </w:pPr>
    </w:p>
    <w:p w14:paraId="526DA17E">
      <w:pPr>
        <w:spacing w:line="360" w:lineRule="auto"/>
        <w:rPr>
          <w:rFonts w:ascii="宋体" w:hAnsi="宋体"/>
          <w:sz w:val="28"/>
          <w:szCs w:val="28"/>
        </w:rPr>
      </w:pPr>
    </w:p>
    <w:p w14:paraId="20AF1C1F">
      <w:pPr>
        <w:spacing w:line="360" w:lineRule="auto"/>
        <w:rPr>
          <w:rFonts w:ascii="宋体" w:hAnsi="宋体"/>
          <w:sz w:val="28"/>
          <w:szCs w:val="28"/>
        </w:rPr>
      </w:pPr>
    </w:p>
    <w:p w14:paraId="2BDA6BC5">
      <w:pPr>
        <w:spacing w:line="360" w:lineRule="auto"/>
        <w:rPr>
          <w:rFonts w:ascii="宋体" w:hAnsi="宋体"/>
          <w:sz w:val="28"/>
          <w:szCs w:val="28"/>
        </w:rPr>
      </w:pPr>
    </w:p>
    <w:p w14:paraId="03E15D2D">
      <w:pPr>
        <w:spacing w:line="360" w:lineRule="auto"/>
        <w:rPr>
          <w:rFonts w:ascii="宋体" w:hAnsi="宋体"/>
          <w:sz w:val="28"/>
          <w:szCs w:val="28"/>
        </w:rPr>
      </w:pPr>
    </w:p>
    <w:p w14:paraId="639BF2A5">
      <w:pPr>
        <w:spacing w:line="360" w:lineRule="auto"/>
        <w:rPr>
          <w:rFonts w:ascii="宋体" w:hAnsi="宋体"/>
          <w:sz w:val="28"/>
          <w:szCs w:val="28"/>
        </w:rPr>
      </w:pPr>
    </w:p>
    <w:p w14:paraId="4FF01AC2">
      <w:pPr>
        <w:spacing w:line="360" w:lineRule="auto"/>
        <w:rPr>
          <w:rFonts w:ascii="宋体" w:hAnsi="宋体"/>
          <w:sz w:val="28"/>
          <w:szCs w:val="28"/>
        </w:rPr>
      </w:pPr>
    </w:p>
    <w:p w14:paraId="4B97278C">
      <w:pPr>
        <w:spacing w:line="360" w:lineRule="auto"/>
        <w:rPr>
          <w:rFonts w:ascii="宋体" w:hAnsi="宋体"/>
          <w:sz w:val="28"/>
          <w:szCs w:val="28"/>
        </w:rPr>
      </w:pPr>
    </w:p>
    <w:p w14:paraId="357F3E95">
      <w:pPr>
        <w:spacing w:line="360" w:lineRule="auto"/>
        <w:rPr>
          <w:rFonts w:ascii="宋体" w:hAnsi="宋体"/>
          <w:sz w:val="28"/>
          <w:szCs w:val="28"/>
        </w:rPr>
      </w:pPr>
    </w:p>
    <w:p w14:paraId="03E69407">
      <w:pPr>
        <w:spacing w:line="360" w:lineRule="auto"/>
        <w:rPr>
          <w:rFonts w:ascii="宋体" w:hAnsi="宋体"/>
          <w:sz w:val="28"/>
          <w:szCs w:val="28"/>
        </w:rPr>
      </w:pPr>
    </w:p>
    <w:p w14:paraId="58FF7046">
      <w:pPr>
        <w:spacing w:line="360" w:lineRule="auto"/>
        <w:rPr>
          <w:rFonts w:ascii="宋体" w:hAnsi="宋体"/>
          <w:sz w:val="28"/>
          <w:szCs w:val="28"/>
        </w:rPr>
      </w:pPr>
    </w:p>
    <w:p w14:paraId="2A26E875">
      <w:pPr>
        <w:spacing w:line="360" w:lineRule="auto"/>
        <w:rPr>
          <w:rFonts w:ascii="宋体" w:hAnsi="宋体"/>
          <w:sz w:val="28"/>
          <w:szCs w:val="28"/>
        </w:rPr>
      </w:pPr>
    </w:p>
    <w:p w14:paraId="5EF0E33B">
      <w:pPr>
        <w:spacing w:line="360" w:lineRule="auto"/>
        <w:rPr>
          <w:rFonts w:ascii="宋体" w:hAnsi="宋体"/>
          <w:sz w:val="28"/>
          <w:szCs w:val="28"/>
        </w:rPr>
      </w:pPr>
    </w:p>
    <w:p w14:paraId="5C7AF91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jc w:val="center"/>
        <w:textAlignment w:val="auto"/>
        <w:rPr>
          <w:rFonts w:hint="eastAsia" w:ascii="黑体" w:eastAsia="黑体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第一部分  基本情况</w:t>
      </w:r>
    </w:p>
    <w:p w14:paraId="3E816F9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1、基地名称与地址</w:t>
      </w:r>
    </w:p>
    <w:tbl>
      <w:tblPr>
        <w:tblStyle w:val="20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60594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09C3E6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1.1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生产单元（基地）地址是否变更？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</w:p>
          <w:p w14:paraId="2CED1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如是，请填写新的生产单元（基地）地址：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 </w:t>
            </w:r>
          </w:p>
          <w:p w14:paraId="0669E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生产基地范围是否变更？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否</w:t>
            </w:r>
          </w:p>
          <w:p w14:paraId="5802C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如是，请详细描述变更情况或提供相关文件：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      </w:t>
            </w:r>
          </w:p>
          <w:p w14:paraId="7D4A0C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sz w:val="21"/>
                <w:szCs w:val="21"/>
                <w:lang w:val="en-US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val="en-US"/>
              </w:rPr>
              <w:t>生产组织模式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是否变更？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否</w:t>
            </w:r>
          </w:p>
          <w:p w14:paraId="4A79C0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如是，请描述新的生产组织模式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：</w:t>
            </w:r>
          </w:p>
          <w:p w14:paraId="53BC7E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</w:p>
          <w:p w14:paraId="7B35D6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黑体" w:eastAsia="黑体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如实际生产涉及农户，请填写农户数：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</w:tc>
      </w:tr>
    </w:tbl>
    <w:tbl>
      <w:tblPr>
        <w:tblStyle w:val="19"/>
        <w:tblpPr w:leftFromText="180" w:rightFromText="180" w:vertAnchor="text" w:horzAnchor="page" w:tblpX="1087" w:tblpY="468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650"/>
        <w:gridCol w:w="1561"/>
        <w:gridCol w:w="4071"/>
      </w:tblGrid>
      <w:tr w14:paraId="2660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79" w:type="dxa"/>
            <w:vAlign w:val="center"/>
          </w:tcPr>
          <w:p w14:paraId="592D3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3650" w:type="dxa"/>
            <w:vAlign w:val="center"/>
          </w:tcPr>
          <w:p w14:paraId="320B4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</w:t>
            </w:r>
          </w:p>
        </w:tc>
        <w:tc>
          <w:tcPr>
            <w:tcW w:w="1561" w:type="dxa"/>
            <w:vAlign w:val="center"/>
          </w:tcPr>
          <w:p w14:paraId="6ABC2F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</w:t>
            </w:r>
            <w:r>
              <w:rPr>
                <w:sz w:val="21"/>
                <w:szCs w:val="21"/>
              </w:rPr>
              <w:t>否修订</w:t>
            </w:r>
          </w:p>
        </w:tc>
        <w:tc>
          <w:tcPr>
            <w:tcW w:w="4071" w:type="dxa"/>
            <w:vAlign w:val="center"/>
          </w:tcPr>
          <w:p w14:paraId="7E15E4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如修订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>请提供新版本</w:t>
            </w:r>
          </w:p>
        </w:tc>
      </w:tr>
      <w:tr w14:paraId="3C4C4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Align w:val="center"/>
          </w:tcPr>
          <w:p w14:paraId="4D17B4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650" w:type="dxa"/>
            <w:vAlign w:val="center"/>
          </w:tcPr>
          <w:p w14:paraId="13ECD7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质量管理手册</w:t>
            </w:r>
          </w:p>
        </w:tc>
        <w:tc>
          <w:tcPr>
            <w:tcW w:w="1561" w:type="dxa"/>
            <w:vAlign w:val="center"/>
          </w:tcPr>
          <w:p w14:paraId="2F1011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7F49D7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627BF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9" w:type="dxa"/>
            <w:vAlign w:val="center"/>
          </w:tcPr>
          <w:p w14:paraId="0C499C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650" w:type="dxa"/>
            <w:vAlign w:val="center"/>
          </w:tcPr>
          <w:p w14:paraId="4E333F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生产</w:t>
            </w:r>
            <w:r>
              <w:rPr>
                <w:sz w:val="21"/>
                <w:szCs w:val="21"/>
              </w:rPr>
              <w:t>操作规程</w:t>
            </w:r>
          </w:p>
        </w:tc>
        <w:tc>
          <w:tcPr>
            <w:tcW w:w="1561" w:type="dxa"/>
            <w:vAlign w:val="center"/>
          </w:tcPr>
          <w:p w14:paraId="6309B7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5A607D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784D6EB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rPr>
          <w:rFonts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2、</w:t>
      </w:r>
      <w:r>
        <w:rPr>
          <w:rFonts w:ascii="黑体" w:eastAsia="黑体"/>
          <w:color w:val="000000"/>
          <w:sz w:val="21"/>
          <w:szCs w:val="21"/>
        </w:rPr>
        <w:t>质量管理文件</w:t>
      </w:r>
    </w:p>
    <w:p w14:paraId="5C2049F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3</w:t>
      </w:r>
      <w:r>
        <w:rPr>
          <w:rFonts w:ascii="黑体" w:eastAsia="黑体"/>
          <w:color w:val="000000"/>
          <w:sz w:val="21"/>
          <w:szCs w:val="21"/>
        </w:rPr>
        <w:t>、</w:t>
      </w:r>
      <w:r>
        <w:rPr>
          <w:rFonts w:hint="eastAsia" w:ascii="黑体" w:eastAsia="黑体"/>
          <w:color w:val="000000"/>
          <w:sz w:val="21"/>
          <w:szCs w:val="21"/>
        </w:rPr>
        <w:t>上年度</w:t>
      </w:r>
      <w:r>
        <w:rPr>
          <w:rFonts w:ascii="黑体" w:eastAsia="黑体"/>
          <w:color w:val="000000"/>
          <w:sz w:val="21"/>
          <w:szCs w:val="21"/>
        </w:rPr>
        <w:t>认证</w:t>
      </w:r>
      <w:r>
        <w:rPr>
          <w:rFonts w:hint="eastAsia" w:ascii="黑体" w:eastAsia="黑体"/>
          <w:color w:val="000000"/>
          <w:sz w:val="21"/>
          <w:szCs w:val="21"/>
        </w:rPr>
        <w:t>不符合项及</w:t>
      </w:r>
      <w:r>
        <w:rPr>
          <w:rFonts w:ascii="黑体" w:eastAsia="黑体"/>
          <w:color w:val="000000"/>
          <w:sz w:val="21"/>
          <w:szCs w:val="21"/>
        </w:rPr>
        <w:t>整改情况（附</w:t>
      </w:r>
      <w:r>
        <w:rPr>
          <w:rFonts w:hint="eastAsia" w:ascii="黑体" w:eastAsia="黑体"/>
          <w:color w:val="000000"/>
          <w:sz w:val="21"/>
          <w:szCs w:val="21"/>
        </w:rPr>
        <w:t>整改情况</w:t>
      </w:r>
      <w:r>
        <w:rPr>
          <w:rFonts w:ascii="黑体" w:eastAsia="黑体"/>
          <w:color w:val="000000"/>
          <w:sz w:val="21"/>
          <w:szCs w:val="21"/>
        </w:rPr>
        <w:t>相关材料证明）</w:t>
      </w:r>
      <w:r>
        <w:rPr>
          <w:rFonts w:hint="eastAsia" w:ascii="黑体" w:eastAsia="黑体"/>
          <w:color w:val="000000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□不涉及</w:t>
      </w:r>
    </w:p>
    <w:tbl>
      <w:tblPr>
        <w:tblStyle w:val="20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499"/>
        <w:gridCol w:w="1650"/>
        <w:gridCol w:w="1400"/>
        <w:gridCol w:w="3421"/>
      </w:tblGrid>
      <w:tr w14:paraId="7251B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restart"/>
            <w:vAlign w:val="center"/>
          </w:tcPr>
          <w:p w14:paraId="1F3A7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不符合项描述</w:t>
            </w:r>
          </w:p>
        </w:tc>
        <w:tc>
          <w:tcPr>
            <w:tcW w:w="4549" w:type="dxa"/>
            <w:gridSpan w:val="3"/>
            <w:vAlign w:val="center"/>
          </w:tcPr>
          <w:p w14:paraId="513564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整改完成情况</w:t>
            </w:r>
          </w:p>
        </w:tc>
        <w:tc>
          <w:tcPr>
            <w:tcW w:w="3421" w:type="dxa"/>
            <w:vMerge w:val="restart"/>
            <w:vAlign w:val="center"/>
          </w:tcPr>
          <w:p w14:paraId="2A7161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整改措施</w:t>
            </w:r>
          </w:p>
        </w:tc>
      </w:tr>
      <w:tr w14:paraId="5DAAD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continue"/>
            <w:vAlign w:val="center"/>
          </w:tcPr>
          <w:p w14:paraId="4D77C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6B2BA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已</w:t>
            </w:r>
            <w:r>
              <w:rPr>
                <w:sz w:val="21"/>
                <w:szCs w:val="21"/>
              </w:rPr>
              <w:t>完成</w:t>
            </w:r>
          </w:p>
        </w:tc>
        <w:tc>
          <w:tcPr>
            <w:tcW w:w="1650" w:type="dxa"/>
            <w:vAlign w:val="center"/>
          </w:tcPr>
          <w:p w14:paraId="27415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基本完成</w:t>
            </w:r>
          </w:p>
        </w:tc>
        <w:tc>
          <w:tcPr>
            <w:tcW w:w="1400" w:type="dxa"/>
            <w:vAlign w:val="center"/>
          </w:tcPr>
          <w:p w14:paraId="010DF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未</w:t>
            </w:r>
            <w:r>
              <w:rPr>
                <w:sz w:val="21"/>
                <w:szCs w:val="21"/>
              </w:rPr>
              <w:t>整改</w:t>
            </w:r>
          </w:p>
        </w:tc>
        <w:tc>
          <w:tcPr>
            <w:tcW w:w="3421" w:type="dxa"/>
            <w:vMerge w:val="continue"/>
            <w:vAlign w:val="center"/>
          </w:tcPr>
          <w:p w14:paraId="75FA4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50206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19193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4DF2E4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00136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52505F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13B7E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63E9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44626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3C146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417DE8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0067C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50905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77A94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1AFE0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793DAB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462157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0027CD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6446F7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34280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0E034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7E36E5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49F14E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15889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5D574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5F7BC19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6" w:beforeLines="50" w:after="156" w:afterLines="50" w:line="240" w:lineRule="exact"/>
        <w:jc w:val="center"/>
        <w:textAlignment w:val="auto"/>
        <w:rPr>
          <w:rFonts w:hint="eastAsia" w:ascii="黑体" w:eastAsia="黑体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 xml:space="preserve">第二部分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蜜蜂</w:t>
      </w:r>
      <w:r>
        <w:rPr>
          <w:rFonts w:hint="eastAsia" w:ascii="黑体" w:eastAsia="黑体"/>
          <w:b/>
          <w:color w:val="000000"/>
          <w:sz w:val="21"/>
          <w:szCs w:val="21"/>
        </w:rPr>
        <w:t>养殖</w:t>
      </w:r>
    </w:p>
    <w:p w14:paraId="353BDC1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1、蜂场</w:t>
      </w:r>
    </w:p>
    <w:tbl>
      <w:tblPr>
        <w:tblStyle w:val="19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8010"/>
      </w:tblGrid>
      <w:tr w14:paraId="5549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961" w:type="dxa"/>
            <w:gridSpan w:val="2"/>
          </w:tcPr>
          <w:p w14:paraId="630E7971">
            <w:pPr>
              <w:pStyle w:val="4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>1.1场址</w:t>
            </w:r>
          </w:p>
        </w:tc>
      </w:tr>
      <w:tr w14:paraId="2D07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51" w:type="dxa"/>
            <w:vAlign w:val="center"/>
          </w:tcPr>
          <w:p w14:paraId="3BE9877E">
            <w:pPr>
              <w:pStyle w:val="4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蜂场环境</w:t>
            </w:r>
          </w:p>
        </w:tc>
        <w:tc>
          <w:tcPr>
            <w:tcW w:w="8010" w:type="dxa"/>
          </w:tcPr>
          <w:p w14:paraId="7C7E9DDE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远离□粉尘 □居民点 □繁忙交通干道 □化工厂；</w:t>
            </w:r>
          </w:p>
          <w:p w14:paraId="28EF37EB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符合□地势高燥□背风向阳 □无有害气体 □无烟雾 □无其它污染物 □排水良好 □小气候适宜的地方。</w:t>
            </w:r>
          </w:p>
          <w:p w14:paraId="5A1C91D0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定地饲养的蜂场间的间隔应不小于3 km；□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18E444BE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在离蜂场半径5 km的范围是否存在（若是点选）：□农药厂</w:t>
            </w: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□农药仓库和以蜜</w:t>
            </w:r>
          </w:p>
          <w:p w14:paraId="04943D6F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□糖为原料的食品厂。</w:t>
            </w:r>
          </w:p>
        </w:tc>
      </w:tr>
      <w:tr w14:paraId="52CBE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623411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蜂场（包括采蜜区）空气质量</w:t>
            </w:r>
          </w:p>
        </w:tc>
        <w:tc>
          <w:tcPr>
            <w:tcW w:w="8010" w:type="dxa"/>
          </w:tcPr>
          <w:p w14:paraId="480F2006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空气中各种污染物的浓度限值应符合GB 3095中二类区（执行2级标准）的要求：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 w14:paraId="47B1F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2D40F4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蜂场附近水源</w:t>
            </w:r>
          </w:p>
        </w:tc>
        <w:tc>
          <w:tcPr>
            <w:tcW w:w="8010" w:type="dxa"/>
          </w:tcPr>
          <w:p w14:paraId="3C163C78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水质应符合NY 5027中幼畜饮用水标准。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 w14:paraId="7EF9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188FC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转地路线、平面布局图、运输</w:t>
            </w:r>
          </w:p>
        </w:tc>
        <w:tc>
          <w:tcPr>
            <w:tcW w:w="8010" w:type="dxa"/>
          </w:tcPr>
          <w:p w14:paraId="5214BA92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若为转地蜂场，应有标明全部养蜂场所的蜂场分布图。</w:t>
            </w:r>
          </w:p>
          <w:p w14:paraId="68CDAF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定地饲养的蜂场应有标著养蜂场所的地理位置示意图。</w:t>
            </w:r>
          </w:p>
          <w:p w14:paraId="4A5A3E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出示年度更新的蜂场分布图，标明蜂场名称（或编号）所在的地理位置。</w:t>
            </w:r>
          </w:p>
          <w:p w14:paraId="6F392C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制作与之相对应的年度更新的蜂场统计表，表明蜂场名称（或编号）、地点、蜜粉源植物、蜂群数量、蜜蜂产品名称及其预计数量、负责人等信息。</w:t>
            </w:r>
          </w:p>
          <w:p w14:paraId="753E3369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布局图是否包括以下信息（是点选）：</w:t>
            </w:r>
          </w:p>
          <w:p w14:paraId="08EC9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20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周围环境的描述，例如周边农药厂、化工厂、食品厂等，以及水源、蜜粉源植被分布；</w:t>
            </w:r>
          </w:p>
          <w:p w14:paraId="3866D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主要区域、入口位置；</w:t>
            </w:r>
          </w:p>
          <w:p w14:paraId="1F966C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主要设施和设备位置；</w:t>
            </w:r>
          </w:p>
          <w:p w14:paraId="05F3A9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蜂群（箱）位置及其编号。</w:t>
            </w:r>
          </w:p>
          <w:p w14:paraId="46D461CD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转地饲养蜂场应表明转地路线。</w:t>
            </w:r>
          </w:p>
          <w:p w14:paraId="2EAC0537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出示包含每个蜂场转地饲养的转地路线、转运方式、日期和蜜粉源植物花期、长势、流蜜状况等信息的书面材料。</w:t>
            </w:r>
          </w:p>
          <w:p w14:paraId="53868D76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运输途中的管理应符合：</w:t>
            </w:r>
          </w:p>
          <w:p w14:paraId="6E4145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做好运前调整群势、食料、包装等准备； </w:t>
            </w:r>
          </w:p>
          <w:p w14:paraId="07E5E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20" w:leftChars="20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在装运蜂群之前对运输线路、装运蜂群的车、船等交通工具的安全性和相关事项有评估预案；</w:t>
            </w:r>
          </w:p>
          <w:p w14:paraId="76DB9D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不能用被农兽药及有毒有害物质污染的车、船等运输工具，装运蜂群；</w:t>
            </w:r>
          </w:p>
        </w:tc>
      </w:tr>
      <w:tr w14:paraId="400CF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1" w:type="dxa"/>
            <w:gridSpan w:val="2"/>
            <w:vAlign w:val="center"/>
          </w:tcPr>
          <w:p w14:paraId="05DC05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>1.2蜜粉源</w:t>
            </w:r>
          </w:p>
        </w:tc>
      </w:tr>
      <w:tr w14:paraId="30F9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  <w:vAlign w:val="center"/>
          </w:tcPr>
          <w:p w14:paraId="3C347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蜜粉源植物</w:t>
            </w:r>
          </w:p>
        </w:tc>
        <w:tc>
          <w:tcPr>
            <w:tcW w:w="8010" w:type="dxa"/>
            <w:shd w:val="clear" w:color="auto" w:fill="auto"/>
            <w:vAlign w:val="top"/>
          </w:tcPr>
          <w:p w14:paraId="333536D3">
            <w:pPr>
              <w:pStyle w:val="31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距蜂场3 km范围内具备较丰富的蜜粉源植物；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27E8946C">
            <w:pPr>
              <w:pStyle w:val="31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0" w:hanging="42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定地蜂场附近至少要有一种以上主要蜜粉源植物和种类较多、花期交错的辅助蜜粉源植物。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是，主要蜜粉源植物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 w14:paraId="42E62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  <w:vAlign w:val="center"/>
          </w:tcPr>
          <w:p w14:paraId="6ECA9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半径5 km范围内是否存在有毒蜜粉植物</w:t>
            </w:r>
          </w:p>
        </w:tc>
        <w:tc>
          <w:tcPr>
            <w:tcW w:w="8010" w:type="dxa"/>
            <w:shd w:val="clear" w:color="auto" w:fill="auto"/>
            <w:vAlign w:val="top"/>
          </w:tcPr>
          <w:p w14:paraId="5A7DE724">
            <w:pPr>
              <w:pStyle w:val="31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是否列出蜂场半径5 km范围内有毒蜜粉植物名称及其开花期一览表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36F46C40">
            <w:pPr>
              <w:pStyle w:val="31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针对有毒蜜粉源所采取的主要应对措施：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 w14:paraId="7E94FBED">
            <w:pPr>
              <w:pStyle w:val="31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0" w:hanging="42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主要有毒蜜粉植物有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 w14:paraId="1CCDD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  <w:vAlign w:val="center"/>
          </w:tcPr>
          <w:p w14:paraId="31FD5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防止蜂群农药中毒</w:t>
            </w:r>
          </w:p>
        </w:tc>
        <w:tc>
          <w:tcPr>
            <w:tcW w:w="8010" w:type="dxa"/>
            <w:shd w:val="clear" w:color="auto" w:fill="auto"/>
            <w:vAlign w:val="top"/>
          </w:tcPr>
          <w:p w14:paraId="477D5458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蜂场管理者是否与当地农民建立良好关系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否；</w:t>
            </w:r>
          </w:p>
          <w:p w14:paraId="78A98AAF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蜂场管理者是否与当地农户保持有效的沟通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否；</w:t>
            </w:r>
          </w:p>
          <w:p w14:paraId="788BEB34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蜂场是否能及时获得蜜粉源植物用药情况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否；</w:t>
            </w:r>
          </w:p>
          <w:p w14:paraId="26511788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养蜂者到达蜜粉源植物种植区放蜂时，是否告知周边3 km以内的村级组织或管理单位，在放蜂区种植蜜粉源植物的单位和个人，应当避免在盛花期施用农药。确需施用农药时，应当选用对蜜蜂低毒的农药品种；□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6DD06ECD">
            <w:pPr>
              <w:pStyle w:val="31"/>
              <w:keepNext w:val="0"/>
              <w:keepLines w:val="0"/>
              <w:pageBreakBefore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养蜂者是否了解主要流蜜期大宗农作物农药防治情况（包括用药时间、用药习惯等），避开农药使用期，以免发生农药中毒；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1E4E2B0E">
            <w:pPr>
              <w:pStyle w:val="31"/>
              <w:keepNext w:val="0"/>
              <w:keepLines w:val="0"/>
              <w:pageBreakBefore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0" w:hanging="42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养蜂者接到农药施用作业通知后应当相互告知，是否及时采取安全防范措施。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</w:tbl>
    <w:p w14:paraId="223183F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2、养蜂机具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430"/>
        <w:gridCol w:w="1680"/>
        <w:gridCol w:w="3830"/>
      </w:tblGrid>
      <w:tr w14:paraId="71DB7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  <w:vAlign w:val="center"/>
          </w:tcPr>
          <w:p w14:paraId="7AAEFC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设备名称</w:t>
            </w:r>
          </w:p>
        </w:tc>
        <w:tc>
          <w:tcPr>
            <w:tcW w:w="2430" w:type="dxa"/>
            <w:vAlign w:val="center"/>
          </w:tcPr>
          <w:p w14:paraId="7C5D85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材质</w:t>
            </w:r>
          </w:p>
        </w:tc>
        <w:tc>
          <w:tcPr>
            <w:tcW w:w="1680" w:type="dxa"/>
            <w:tcBorders>
              <w:right w:val="single" w:color="auto" w:sz="4" w:space="0"/>
            </w:tcBorders>
            <w:vAlign w:val="center"/>
          </w:tcPr>
          <w:p w14:paraId="34D4F8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  <w:tc>
          <w:tcPr>
            <w:tcW w:w="3830" w:type="dxa"/>
            <w:tcBorders>
              <w:left w:val="single" w:color="auto" w:sz="4" w:space="0"/>
            </w:tcBorders>
            <w:vAlign w:val="center"/>
          </w:tcPr>
          <w:p w14:paraId="4097FB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主要用途</w:t>
            </w:r>
          </w:p>
        </w:tc>
      </w:tr>
      <w:tr w14:paraId="571F7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6711A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00C00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3A3889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338B4D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2DA1C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5BE5B7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069C5A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5843A2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09CB81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4C89F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708A08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29715E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206204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2842C6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322B0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79B857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20793E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71213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011FD5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0EF54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682265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505E2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4F2BC8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21539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65CF560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3、引种</w:t>
      </w:r>
    </w:p>
    <w:tbl>
      <w:tblPr>
        <w:tblStyle w:val="19"/>
        <w:tblW w:w="99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702"/>
        <w:gridCol w:w="4066"/>
        <w:gridCol w:w="2385"/>
      </w:tblGrid>
      <w:tr w14:paraId="2E028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808" w:type="dxa"/>
          </w:tcPr>
          <w:p w14:paraId="664208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引入蜂群/蜂王</w:t>
            </w:r>
          </w:p>
        </w:tc>
        <w:tc>
          <w:tcPr>
            <w:tcW w:w="1702" w:type="dxa"/>
          </w:tcPr>
          <w:p w14:paraId="600C61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品种</w:t>
            </w:r>
          </w:p>
        </w:tc>
        <w:tc>
          <w:tcPr>
            <w:tcW w:w="4066" w:type="dxa"/>
            <w:tcBorders>
              <w:right w:val="single" w:color="auto" w:sz="4" w:space="0"/>
            </w:tcBorders>
          </w:tcPr>
          <w:p w14:paraId="69B8F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来源</w:t>
            </w:r>
          </w:p>
        </w:tc>
        <w:tc>
          <w:tcPr>
            <w:tcW w:w="2385" w:type="dxa"/>
            <w:tcBorders>
              <w:left w:val="single" w:color="auto" w:sz="4" w:space="0"/>
            </w:tcBorders>
          </w:tcPr>
          <w:p w14:paraId="6AA8EA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</w:tr>
      <w:tr w14:paraId="066B9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</w:tcPr>
          <w:p w14:paraId="30685B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02" w:type="dxa"/>
          </w:tcPr>
          <w:p w14:paraId="667EFD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066" w:type="dxa"/>
            <w:tcBorders>
              <w:right w:val="single" w:color="auto" w:sz="4" w:space="0"/>
            </w:tcBorders>
          </w:tcPr>
          <w:p w14:paraId="70F1F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385" w:type="dxa"/>
            <w:tcBorders>
              <w:left w:val="single" w:color="auto" w:sz="4" w:space="0"/>
            </w:tcBorders>
          </w:tcPr>
          <w:p w14:paraId="7086C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5367ED8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4、饲喂管理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2078"/>
        <w:gridCol w:w="1896"/>
        <w:gridCol w:w="1556"/>
        <w:gridCol w:w="2758"/>
      </w:tblGrid>
      <w:tr w14:paraId="50E0F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1" w:type="dxa"/>
            <w:gridSpan w:val="5"/>
            <w:vAlign w:val="center"/>
          </w:tcPr>
          <w:p w14:paraId="396906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4.1饲料</w:t>
            </w:r>
          </w:p>
        </w:tc>
      </w:tr>
      <w:tr w14:paraId="7567D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  <w:vAlign w:val="center"/>
          </w:tcPr>
          <w:p w14:paraId="39063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饲料种类</w:t>
            </w:r>
          </w:p>
        </w:tc>
        <w:tc>
          <w:tcPr>
            <w:tcW w:w="2078" w:type="dxa"/>
            <w:vAlign w:val="center"/>
          </w:tcPr>
          <w:p w14:paraId="1212A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饲料来源</w:t>
            </w:r>
          </w:p>
        </w:tc>
        <w:tc>
          <w:tcPr>
            <w:tcW w:w="1896" w:type="dxa"/>
            <w:vAlign w:val="center"/>
          </w:tcPr>
          <w:p w14:paraId="595E9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饲喂类型</w:t>
            </w:r>
          </w:p>
        </w:tc>
        <w:tc>
          <w:tcPr>
            <w:tcW w:w="1556" w:type="dxa"/>
            <w:vAlign w:val="center"/>
          </w:tcPr>
          <w:p w14:paraId="027402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饲喂时间</w:t>
            </w:r>
          </w:p>
        </w:tc>
        <w:tc>
          <w:tcPr>
            <w:tcW w:w="2758" w:type="dxa"/>
            <w:vAlign w:val="center"/>
          </w:tcPr>
          <w:p w14:paraId="36B7DA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饲料需求量</w:t>
            </w:r>
          </w:p>
        </w:tc>
      </w:tr>
      <w:tr w14:paraId="30BEF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43B7EE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78" w:type="dxa"/>
          </w:tcPr>
          <w:p w14:paraId="414A0B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96" w:type="dxa"/>
          </w:tcPr>
          <w:p w14:paraId="0A86D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56" w:type="dxa"/>
          </w:tcPr>
          <w:p w14:paraId="18F1F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758" w:type="dxa"/>
          </w:tcPr>
          <w:p w14:paraId="0FB6A4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09356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1" w:type="dxa"/>
            <w:gridSpan w:val="5"/>
          </w:tcPr>
          <w:p w14:paraId="1E973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4.2饮水</w:t>
            </w:r>
          </w:p>
        </w:tc>
      </w:tr>
      <w:tr w14:paraId="78BEA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  <w:vAlign w:val="center"/>
          </w:tcPr>
          <w:p w14:paraId="5C548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水源类型</w:t>
            </w:r>
          </w:p>
        </w:tc>
        <w:tc>
          <w:tcPr>
            <w:tcW w:w="8288" w:type="dxa"/>
            <w:gridSpan w:val="4"/>
            <w:vAlign w:val="center"/>
          </w:tcPr>
          <w:p w14:paraId="6C28A2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水源分布描述</w:t>
            </w:r>
          </w:p>
        </w:tc>
      </w:tr>
      <w:tr w14:paraId="21B72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  <w:vAlign w:val="top"/>
          </w:tcPr>
          <w:p w14:paraId="5C8A08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8288" w:type="dxa"/>
            <w:gridSpan w:val="4"/>
            <w:vAlign w:val="top"/>
          </w:tcPr>
          <w:p w14:paraId="12C2C1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2B8C2E6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5、用药管理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8124"/>
      </w:tblGrid>
      <w:tr w14:paraId="16BEBF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7" w:type="dxa"/>
          </w:tcPr>
          <w:p w14:paraId="25AD40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常见疾病种类</w:t>
            </w:r>
          </w:p>
        </w:tc>
        <w:tc>
          <w:tcPr>
            <w:tcW w:w="8124" w:type="dxa"/>
          </w:tcPr>
          <w:p w14:paraId="5CCCFC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常用的治疗方式</w:t>
            </w:r>
          </w:p>
        </w:tc>
      </w:tr>
      <w:tr w14:paraId="58362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7" w:type="dxa"/>
          </w:tcPr>
          <w:p w14:paraId="1632D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8124" w:type="dxa"/>
          </w:tcPr>
          <w:p w14:paraId="2800C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4D6F5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7" w:type="dxa"/>
          </w:tcPr>
          <w:p w14:paraId="6E006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8124" w:type="dxa"/>
          </w:tcPr>
          <w:p w14:paraId="256716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7A8582B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6、场地和设备清洁和消毒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771"/>
        <w:gridCol w:w="1295"/>
        <w:gridCol w:w="2390"/>
        <w:gridCol w:w="2700"/>
      </w:tblGrid>
      <w:tr w14:paraId="0B95D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  <w:vAlign w:val="center"/>
          </w:tcPr>
          <w:p w14:paraId="49F92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清洁、消毒种类</w:t>
            </w:r>
          </w:p>
        </w:tc>
        <w:tc>
          <w:tcPr>
            <w:tcW w:w="1771" w:type="dxa"/>
            <w:vAlign w:val="center"/>
          </w:tcPr>
          <w:p w14:paraId="1E971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作业范围</w:t>
            </w:r>
          </w:p>
        </w:tc>
        <w:tc>
          <w:tcPr>
            <w:tcW w:w="1295" w:type="dxa"/>
            <w:vAlign w:val="center"/>
          </w:tcPr>
          <w:p w14:paraId="6445BB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作业频率</w:t>
            </w:r>
          </w:p>
        </w:tc>
        <w:tc>
          <w:tcPr>
            <w:tcW w:w="2390" w:type="dxa"/>
            <w:vAlign w:val="center"/>
          </w:tcPr>
          <w:p w14:paraId="5F4AAC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作业方式</w:t>
            </w:r>
          </w:p>
        </w:tc>
        <w:tc>
          <w:tcPr>
            <w:tcW w:w="2700" w:type="dxa"/>
            <w:vAlign w:val="center"/>
          </w:tcPr>
          <w:p w14:paraId="70D281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投入物名称、浓度</w:t>
            </w:r>
          </w:p>
        </w:tc>
      </w:tr>
      <w:tr w14:paraId="3B08A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</w:tcPr>
          <w:p w14:paraId="2EF6A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1" w:type="dxa"/>
          </w:tcPr>
          <w:p w14:paraId="5B8010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</w:tcPr>
          <w:p w14:paraId="4E8104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90" w:type="dxa"/>
          </w:tcPr>
          <w:p w14:paraId="38B6A4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0EB202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77D8F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</w:tcPr>
          <w:p w14:paraId="45F50F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1" w:type="dxa"/>
          </w:tcPr>
          <w:p w14:paraId="3B74D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</w:tcPr>
          <w:p w14:paraId="15E299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90" w:type="dxa"/>
          </w:tcPr>
          <w:p w14:paraId="46D0E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15148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5DECA34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7、产品销售和认证标识使用情况</w:t>
      </w:r>
    </w:p>
    <w:tbl>
      <w:tblPr>
        <w:tblStyle w:val="19"/>
        <w:tblW w:w="99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3298"/>
        <w:gridCol w:w="1263"/>
        <w:gridCol w:w="1642"/>
        <w:gridCol w:w="2305"/>
      </w:tblGrid>
      <w:tr w14:paraId="0D847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3" w:type="dxa"/>
            <w:vAlign w:val="center"/>
          </w:tcPr>
          <w:p w14:paraId="34256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3298" w:type="dxa"/>
            <w:vAlign w:val="center"/>
          </w:tcPr>
          <w:p w14:paraId="7330C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263" w:type="dxa"/>
            <w:vAlign w:val="center"/>
          </w:tcPr>
          <w:p w14:paraId="7B0B34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642" w:type="dxa"/>
            <w:vAlign w:val="center"/>
          </w:tcPr>
          <w:p w14:paraId="5135C0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7E2A8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2305" w:type="dxa"/>
            <w:vAlign w:val="center"/>
          </w:tcPr>
          <w:p w14:paraId="67A21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34E9E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3" w:type="dxa"/>
            <w:vAlign w:val="center"/>
          </w:tcPr>
          <w:p w14:paraId="443F4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298" w:type="dxa"/>
            <w:vAlign w:val="center"/>
          </w:tcPr>
          <w:p w14:paraId="00F83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502807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27E8A1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05" w:type="dxa"/>
            <w:vAlign w:val="center"/>
          </w:tcPr>
          <w:p w14:paraId="4DF69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42C144B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8、年度生产计划</w:t>
      </w:r>
    </w:p>
    <w:p w14:paraId="0EF66BAD">
      <w:pPr>
        <w:keepNext w:val="0"/>
        <w:keepLines w:val="0"/>
        <w:pageBreakBefore w:val="0"/>
        <w:tabs>
          <w:tab w:val="left" w:pos="567"/>
        </w:tabs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/>
          <w:snapToGrid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sz w:val="21"/>
          <w:szCs w:val="21"/>
        </w:rPr>
        <w:t>是否制定了养殖年度GAP生产计划（具体养殖计划）等：□是 ，请附件   □否</w:t>
      </w:r>
    </w:p>
    <w:p w14:paraId="30B275F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1"/>
          <w:szCs w:val="21"/>
        </w:rPr>
        <w:t xml:space="preserve">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1"/>
          <w:szCs w:val="21"/>
        </w:rPr>
        <w:t>管理</w:t>
      </w:r>
    </w:p>
    <w:p w14:paraId="4D90840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1、GAP认证证书与标识使用情况</w:t>
      </w:r>
    </w:p>
    <w:tbl>
      <w:tblPr>
        <w:tblStyle w:val="19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3E4B2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68871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46545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46AB01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3277A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5E89B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404D24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15C4EA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34B66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06EE3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6B45BD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686D38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668BC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45EB11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491870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CE8A5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0B74A7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30665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4A635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374AE2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231738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7D89D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2383FF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60F8A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686351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1F3266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1E5E1A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542266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78CA07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17DAF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3C9D0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D2912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3C485B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0B893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1BBF2C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70D4A8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3A0B3E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3FB72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0CB36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346E1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76634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72B9C83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2、质量管理体系情况调查</w:t>
      </w:r>
    </w:p>
    <w:tbl>
      <w:tblPr>
        <w:tblStyle w:val="19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03309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61" w:type="dxa"/>
            <w:vAlign w:val="center"/>
          </w:tcPr>
          <w:p w14:paraId="624664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□是    □否</w:t>
            </w:r>
          </w:p>
        </w:tc>
      </w:tr>
      <w:tr w14:paraId="10AC0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6ABDC4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2.是否能确保在使用时可获得适用文件的有效版本？ □是    □否</w:t>
            </w:r>
          </w:p>
        </w:tc>
      </w:tr>
      <w:tr w14:paraId="77AC6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208208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3.是否保存了有效的GAP生产记录？               □是    □否</w:t>
            </w:r>
          </w:p>
        </w:tc>
      </w:tr>
    </w:tbl>
    <w:p w14:paraId="12641E8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3、资源管理</w:t>
      </w:r>
    </w:p>
    <w:tbl>
      <w:tblPr>
        <w:tblStyle w:val="19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68EC6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7F36D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111135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0521A6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是否了解或熟悉国家GAP标准要求</w:t>
            </w:r>
          </w:p>
        </w:tc>
      </w:tr>
      <w:tr w14:paraId="30D3B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4C0B57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65F7DD5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6DFF67C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tr w14:paraId="4B995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70F29A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729E2BD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261B8C5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</w:tbl>
    <w:p w14:paraId="3F998979">
      <w:pPr>
        <w:tabs>
          <w:tab w:val="left" w:pos="567"/>
        </w:tabs>
        <w:spacing w:line="360" w:lineRule="auto"/>
        <w:rPr>
          <w:rFonts w:hint="eastAsia" w:ascii="宋体" w:hAnsi="宋体" w:eastAsia="宋体" w:cs="宋体"/>
          <w:b w:val="0"/>
          <w:bCs/>
          <w:snapToGrid w:val="0"/>
          <w:color w:val="000000"/>
          <w:sz w:val="21"/>
          <w:szCs w:val="21"/>
        </w:rPr>
      </w:pPr>
    </w:p>
    <w:p w14:paraId="629227DF">
      <w:pPr>
        <w:tabs>
          <w:tab w:val="left" w:pos="567"/>
        </w:tabs>
        <w:spacing w:line="360" w:lineRule="auto"/>
        <w:rPr>
          <w:rFonts w:hint="eastAsia" w:ascii="宋体" w:hAnsi="宋体" w:eastAsia="宋体" w:cs="宋体"/>
          <w:b w:val="0"/>
          <w:bCs/>
          <w:snapToGrid w:val="0"/>
          <w:color w:val="000000"/>
          <w:sz w:val="21"/>
          <w:szCs w:val="21"/>
        </w:rPr>
      </w:pPr>
      <w:bookmarkStart w:id="0" w:name="_GoBack"/>
      <w:bookmarkEnd w:id="0"/>
    </w:p>
    <w:p w14:paraId="57432706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0BDEE642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产品标准的需要。同时我也知道，即使本调查内容经审查得到通过，并不意味着申报产品通过了GAP产品认证。</w:t>
      </w:r>
    </w:p>
    <w:p w14:paraId="24377574">
      <w:pPr>
        <w:spacing w:line="360" w:lineRule="auto"/>
        <w:ind w:firstLine="420"/>
        <w:rPr>
          <w:b/>
          <w:sz w:val="24"/>
          <w:szCs w:val="24"/>
        </w:rPr>
      </w:pPr>
    </w:p>
    <w:p w14:paraId="24E47527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</w:t>
      </w:r>
      <w:r>
        <w:rPr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b/>
          <w:sz w:val="24"/>
          <w:u w:val="single"/>
        </w:rPr>
        <w:t xml:space="preserve">  </w:t>
      </w:r>
    </w:p>
    <w:p w14:paraId="6C2D9647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41281E2D">
      <w:pPr>
        <w:jc w:val="center"/>
        <w:rPr>
          <w:sz w:val="18"/>
          <w:szCs w:val="18"/>
        </w:rPr>
      </w:pPr>
    </w:p>
    <w:p w14:paraId="20AAAD1F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05F1E04A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212C33F5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56FAC7A3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5"/>
          <w:rFonts w:ascii="宋体" w:hAnsi="宋体"/>
          <w:szCs w:val="21"/>
          <w:lang w:val="de-DE"/>
        </w:rPr>
        <w:t>www.</w:t>
      </w:r>
      <w:r>
        <w:rPr>
          <w:rStyle w:val="25"/>
          <w:rFonts w:hint="eastAsia" w:ascii="宋体" w:hAnsi="宋体"/>
          <w:szCs w:val="21"/>
          <w:lang w:val="de-DE"/>
        </w:rPr>
        <w:t>obt-int</w:t>
      </w:r>
      <w:r>
        <w:rPr>
          <w:rStyle w:val="25"/>
          <w:rFonts w:ascii="宋体" w:hAnsi="宋体"/>
          <w:szCs w:val="21"/>
          <w:lang w:val="de-DE"/>
        </w:rPr>
        <w:t>.c</w:t>
      </w:r>
      <w:r>
        <w:rPr>
          <w:rStyle w:val="25"/>
          <w:rFonts w:hint="eastAsia" w:ascii="宋体" w:hAnsi="宋体"/>
          <w:szCs w:val="21"/>
          <w:lang w:val="de-DE"/>
        </w:rPr>
        <w:t>om</w:t>
      </w:r>
      <w:r>
        <w:rPr>
          <w:rStyle w:val="25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0F891DA5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BACBD9">
    <w:pPr>
      <w:pStyle w:val="14"/>
      <w:pBdr>
        <w:bottom w:val="single" w:color="auto" w:sz="4" w:space="0"/>
      </w:pBdr>
      <w:jc w:val="both"/>
      <w:rPr>
        <w:rFonts w:hint="default" w:eastAsiaTheme="minorEastAsia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285115" cy="182245"/>
          <wp:effectExtent l="0" t="0" r="6985" b="8255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5115" cy="182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>0</w:t>
    </w:r>
    <w:r>
      <w:rPr>
        <w:rFonts w:hint="eastAsia" w:ascii="宋体" w:hAnsi="宋体"/>
        <w:sz w:val="18"/>
        <w:szCs w:val="18"/>
        <w:lang w:val="en-US" w:eastAsia="zh-CN"/>
      </w:rPr>
      <w:t>6</w:t>
    </w:r>
    <w:r>
      <w:rPr>
        <w:rFonts w:hint="eastAsia" w:ascii="宋体" w:hAnsi="宋体"/>
        <w:sz w:val="18"/>
        <w:szCs w:val="18"/>
      </w:rPr>
      <w:t xml:space="preserve">-4   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/>
        <w:sz w:val="18"/>
        <w:szCs w:val="18"/>
      </w:rPr>
      <w:t xml:space="preserve">  </w:t>
    </w:r>
    <w:r>
      <w:rPr>
        <w:rFonts w:hint="eastAsia" w:ascii="宋体" w:hAnsi="宋体"/>
        <w:sz w:val="18"/>
        <w:szCs w:val="18"/>
        <w:lang w:val="en-US" w:eastAsia="zh-CN"/>
      </w:rPr>
      <w:t xml:space="preserve"> </w:t>
    </w:r>
    <w:r>
      <w:rPr>
        <w:rFonts w:hint="eastAsia" w:ascii="宋体" w:hAnsi="宋体"/>
        <w:sz w:val="18"/>
        <w:szCs w:val="18"/>
      </w:rPr>
      <w:t xml:space="preserve">  </w:t>
    </w:r>
    <w:r>
      <w:rPr>
        <w:rFonts w:hint="eastAsia" w:ascii="宋体" w:hAnsi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/>
        <w:sz w:val="18"/>
        <w:szCs w:val="18"/>
      </w:rPr>
      <w:t xml:space="preserve">      版本： 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     </w:t>
    </w:r>
    <w:r>
      <w:rPr>
        <w:rFonts w:hint="eastAsia" w:ascii="宋体" w:hAnsi="宋体"/>
        <w:sz w:val="18"/>
        <w:szCs w:val="18"/>
      </w:rPr>
      <w:t xml:space="preserve">       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1653D46"/>
    <w:multiLevelType w:val="multilevel"/>
    <w:tmpl w:val="31653D4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7CC57C3"/>
    <w:multiLevelType w:val="multilevel"/>
    <w:tmpl w:val="37CC57C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A6334F1"/>
    <w:multiLevelType w:val="multilevel"/>
    <w:tmpl w:val="3A6334F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D733618"/>
    <w:multiLevelType w:val="multilevel"/>
    <w:tmpl w:val="3D733618"/>
    <w:lvl w:ilvl="0" w:tentative="0">
      <w:start w:val="1"/>
      <w:numFmt w:val="decimal"/>
      <w:pStyle w:val="1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5">
    <w:nsid w:val="3F462873"/>
    <w:multiLevelType w:val="multilevel"/>
    <w:tmpl w:val="3F46287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9493471"/>
    <w:multiLevelType w:val="multilevel"/>
    <w:tmpl w:val="4949347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6A382BBB"/>
    <w:multiLevelType w:val="multilevel"/>
    <w:tmpl w:val="6A382BB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76933334"/>
    <w:multiLevelType w:val="multilevel"/>
    <w:tmpl w:val="76933334"/>
    <w:lvl w:ilvl="0" w:tentative="0">
      <w:start w:val="1"/>
      <w:numFmt w:val="none"/>
      <w:pStyle w:val="45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FF2"/>
    <w:rsid w:val="00020F21"/>
    <w:rsid w:val="00055BFE"/>
    <w:rsid w:val="00057E1B"/>
    <w:rsid w:val="00085D27"/>
    <w:rsid w:val="000A24BB"/>
    <w:rsid w:val="000A26DF"/>
    <w:rsid w:val="000A52F5"/>
    <w:rsid w:val="000A78C0"/>
    <w:rsid w:val="000B4FAA"/>
    <w:rsid w:val="000B790C"/>
    <w:rsid w:val="000C5094"/>
    <w:rsid w:val="00106296"/>
    <w:rsid w:val="00112698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07540"/>
    <w:rsid w:val="00332E8C"/>
    <w:rsid w:val="0033737B"/>
    <w:rsid w:val="00341A3B"/>
    <w:rsid w:val="00367360"/>
    <w:rsid w:val="00371BB6"/>
    <w:rsid w:val="00380751"/>
    <w:rsid w:val="0038295B"/>
    <w:rsid w:val="003C6222"/>
    <w:rsid w:val="003C77E0"/>
    <w:rsid w:val="003E5D7D"/>
    <w:rsid w:val="00416A0B"/>
    <w:rsid w:val="00424717"/>
    <w:rsid w:val="00455BF0"/>
    <w:rsid w:val="004A5552"/>
    <w:rsid w:val="004D413D"/>
    <w:rsid w:val="004E7D62"/>
    <w:rsid w:val="005006F3"/>
    <w:rsid w:val="00532E79"/>
    <w:rsid w:val="00551AD4"/>
    <w:rsid w:val="00561546"/>
    <w:rsid w:val="0059423C"/>
    <w:rsid w:val="005A0711"/>
    <w:rsid w:val="005A19A3"/>
    <w:rsid w:val="005A416F"/>
    <w:rsid w:val="005E30F0"/>
    <w:rsid w:val="0061498F"/>
    <w:rsid w:val="0061581D"/>
    <w:rsid w:val="00625923"/>
    <w:rsid w:val="00626367"/>
    <w:rsid w:val="00632440"/>
    <w:rsid w:val="00650602"/>
    <w:rsid w:val="006736F0"/>
    <w:rsid w:val="00687E97"/>
    <w:rsid w:val="00691BE5"/>
    <w:rsid w:val="007342D3"/>
    <w:rsid w:val="00743290"/>
    <w:rsid w:val="00761F56"/>
    <w:rsid w:val="007631CB"/>
    <w:rsid w:val="007939D5"/>
    <w:rsid w:val="00796372"/>
    <w:rsid w:val="007A0482"/>
    <w:rsid w:val="007A3D1D"/>
    <w:rsid w:val="007B3191"/>
    <w:rsid w:val="00822794"/>
    <w:rsid w:val="00830F76"/>
    <w:rsid w:val="00865004"/>
    <w:rsid w:val="00866F62"/>
    <w:rsid w:val="00870A6D"/>
    <w:rsid w:val="00886C0A"/>
    <w:rsid w:val="00887346"/>
    <w:rsid w:val="00893776"/>
    <w:rsid w:val="008B4CA8"/>
    <w:rsid w:val="008C27B0"/>
    <w:rsid w:val="00914E65"/>
    <w:rsid w:val="009170AC"/>
    <w:rsid w:val="009362EB"/>
    <w:rsid w:val="00960F4C"/>
    <w:rsid w:val="009908C2"/>
    <w:rsid w:val="009D7EE0"/>
    <w:rsid w:val="009E58BD"/>
    <w:rsid w:val="009F7539"/>
    <w:rsid w:val="00A15256"/>
    <w:rsid w:val="00A45C16"/>
    <w:rsid w:val="00A94103"/>
    <w:rsid w:val="00AB5D72"/>
    <w:rsid w:val="00AC194C"/>
    <w:rsid w:val="00AC6ABD"/>
    <w:rsid w:val="00AE2B65"/>
    <w:rsid w:val="00AF7527"/>
    <w:rsid w:val="00B34C52"/>
    <w:rsid w:val="00B360F0"/>
    <w:rsid w:val="00B56D23"/>
    <w:rsid w:val="00B65345"/>
    <w:rsid w:val="00C302AF"/>
    <w:rsid w:val="00C60412"/>
    <w:rsid w:val="00C60EE5"/>
    <w:rsid w:val="00C632E6"/>
    <w:rsid w:val="00C6760C"/>
    <w:rsid w:val="00CE17AA"/>
    <w:rsid w:val="00CE1BA2"/>
    <w:rsid w:val="00D01500"/>
    <w:rsid w:val="00D44214"/>
    <w:rsid w:val="00D567B8"/>
    <w:rsid w:val="00D92C4C"/>
    <w:rsid w:val="00D9673A"/>
    <w:rsid w:val="00DA6742"/>
    <w:rsid w:val="00DB4F8E"/>
    <w:rsid w:val="00DC6524"/>
    <w:rsid w:val="00DD164F"/>
    <w:rsid w:val="00DD585E"/>
    <w:rsid w:val="00DD7502"/>
    <w:rsid w:val="00DD794D"/>
    <w:rsid w:val="00DE09B7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EE7BD1"/>
    <w:rsid w:val="00F04845"/>
    <w:rsid w:val="00F2633E"/>
    <w:rsid w:val="00F34A02"/>
    <w:rsid w:val="00FC2E8A"/>
    <w:rsid w:val="00FC7864"/>
    <w:rsid w:val="00FC7E26"/>
    <w:rsid w:val="0A4F1345"/>
    <w:rsid w:val="0D050423"/>
    <w:rsid w:val="1B3501FE"/>
    <w:rsid w:val="34F629EC"/>
    <w:rsid w:val="3ABA42A7"/>
    <w:rsid w:val="415F3F76"/>
    <w:rsid w:val="419929E5"/>
    <w:rsid w:val="4B5E5345"/>
    <w:rsid w:val="517D267B"/>
    <w:rsid w:val="637D289A"/>
    <w:rsid w:val="65CD6424"/>
    <w:rsid w:val="7414462A"/>
    <w:rsid w:val="779C3866"/>
    <w:rsid w:val="7977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4"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5"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7"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8"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6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8"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9"/>
    <w:qFormat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2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8"/>
    <w:autoRedefine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footnote text"/>
    <w:basedOn w:val="1"/>
    <w:link w:val="54"/>
    <w:qFormat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16">
    <w:name w:val="Body Text 2"/>
    <w:basedOn w:val="1"/>
    <w:link w:val="37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7">
    <w:name w:val="HTML Preformatted"/>
    <w:basedOn w:val="1"/>
    <w:link w:val="4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8">
    <w:name w:val="annotation subject"/>
    <w:basedOn w:val="8"/>
    <w:next w:val="8"/>
    <w:link w:val="46"/>
    <w:semiHidden/>
    <w:qFormat/>
    <w:uiPriority w:val="0"/>
    <w:rPr>
      <w:b/>
      <w:bCs/>
    </w:rPr>
  </w:style>
  <w:style w:type="table" w:styleId="20">
    <w:name w:val="Table Grid"/>
    <w:basedOn w:val="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page number"/>
    <w:basedOn w:val="21"/>
    <w:qFormat/>
    <w:uiPriority w:val="0"/>
  </w:style>
  <w:style w:type="character" w:styleId="23">
    <w:name w:val="FollowedHyperlink"/>
    <w:qFormat/>
    <w:uiPriority w:val="0"/>
    <w:rPr>
      <w:color w:val="800080"/>
      <w:u w:val="single"/>
    </w:rPr>
  </w:style>
  <w:style w:type="character" w:styleId="24">
    <w:name w:val="Emphasis"/>
    <w:basedOn w:val="21"/>
    <w:qFormat/>
    <w:uiPriority w:val="0"/>
    <w:rPr>
      <w:i/>
      <w:iCs/>
    </w:rPr>
  </w:style>
  <w:style w:type="character" w:styleId="25">
    <w:name w:val="Hyperlink"/>
    <w:qFormat/>
    <w:uiPriority w:val="0"/>
    <w:rPr>
      <w:color w:val="0000FF"/>
      <w:u w:val="single"/>
    </w:rPr>
  </w:style>
  <w:style w:type="character" w:styleId="26">
    <w:name w:val="annotation reference"/>
    <w:semiHidden/>
    <w:qFormat/>
    <w:uiPriority w:val="0"/>
    <w:rPr>
      <w:sz w:val="21"/>
      <w:szCs w:val="21"/>
    </w:rPr>
  </w:style>
  <w:style w:type="character" w:styleId="27">
    <w:name w:val="footnote reference"/>
    <w:basedOn w:val="21"/>
    <w:semiHidden/>
    <w:qFormat/>
    <w:uiPriority w:val="0"/>
    <w:rPr>
      <w:vertAlign w:val="superscript"/>
    </w:rPr>
  </w:style>
  <w:style w:type="character" w:customStyle="1" w:styleId="28">
    <w:name w:val="批注框文本 Char"/>
    <w:basedOn w:val="21"/>
    <w:link w:val="12"/>
    <w:semiHidden/>
    <w:qFormat/>
    <w:uiPriority w:val="99"/>
    <w:rPr>
      <w:sz w:val="18"/>
      <w:szCs w:val="18"/>
    </w:rPr>
  </w:style>
  <w:style w:type="character" w:customStyle="1" w:styleId="29">
    <w:name w:val="页眉 Char"/>
    <w:basedOn w:val="21"/>
    <w:link w:val="14"/>
    <w:semiHidden/>
    <w:qFormat/>
    <w:uiPriority w:val="0"/>
    <w:rPr>
      <w:sz w:val="18"/>
      <w:szCs w:val="18"/>
    </w:rPr>
  </w:style>
  <w:style w:type="character" w:customStyle="1" w:styleId="30">
    <w:name w:val="页脚 Char"/>
    <w:basedOn w:val="21"/>
    <w:link w:val="13"/>
    <w:qFormat/>
    <w:uiPriority w:val="99"/>
    <w:rPr>
      <w:sz w:val="18"/>
      <w:szCs w:val="18"/>
    </w:rPr>
  </w:style>
  <w:style w:type="paragraph" w:styleId="31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2">
    <w:name w:val="日期 Char"/>
    <w:basedOn w:val="21"/>
    <w:link w:val="11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3">
    <w:name w:val="标题 1 Char"/>
    <w:basedOn w:val="21"/>
    <w:link w:val="2"/>
    <w:autoRedefine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4">
    <w:name w:val="标题 2 Char"/>
    <w:basedOn w:val="21"/>
    <w:link w:val="3"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5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6">
    <w:name w:val="批注文字 Char"/>
    <w:basedOn w:val="21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7">
    <w:name w:val="正文文本 2 Char"/>
    <w:basedOn w:val="21"/>
    <w:link w:val="16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8">
    <w:name w:val="正文文本 Char"/>
    <w:basedOn w:val="21"/>
    <w:link w:val="9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9">
    <w:name w:val="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40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41">
    <w:name w:val="HTML 预设格式 Char"/>
    <w:basedOn w:val="21"/>
    <w:link w:val="17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Char Char Char Char Char Char Char Char2 Char"/>
    <w:basedOn w:val="1"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3">
    <w:name w:val="Comment Subject1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4">
    <w:name w:val="段"/>
    <w:link w:val="53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5">
    <w:name w:val="列项——"/>
    <w:qFormat/>
    <w:uiPriority w:val="0"/>
    <w:pPr>
      <w:widowControl w:val="0"/>
      <w:numPr>
        <w:ilvl w:val="0"/>
        <w:numId w:val="2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6">
    <w:name w:val="批注主题 Char"/>
    <w:basedOn w:val="36"/>
    <w:link w:val="18"/>
    <w:semiHidden/>
    <w:qFormat/>
    <w:uiPriority w:val="0"/>
    <w:rPr>
      <w:b/>
      <w:bCs/>
    </w:rPr>
  </w:style>
  <w:style w:type="character" w:customStyle="1" w:styleId="47">
    <w:name w:val="标题 5 Char"/>
    <w:basedOn w:val="21"/>
    <w:link w:val="6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8">
    <w:name w:val="标题 7 Char"/>
    <w:basedOn w:val="21"/>
    <w:link w:val="7"/>
    <w:qFormat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9">
    <w:name w:val="正文文本缩进 Char"/>
    <w:basedOn w:val="21"/>
    <w:link w:val="10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51">
    <w:name w:val="Char Char3"/>
    <w:qFormat/>
    <w:uiPriority w:val="0"/>
    <w:rPr>
      <w:kern w:val="2"/>
      <w:sz w:val="18"/>
      <w:szCs w:val="18"/>
      <w:lang w:val="de-DE"/>
    </w:rPr>
  </w:style>
  <w:style w:type="paragraph" w:customStyle="1" w:styleId="52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  <w:style w:type="character" w:customStyle="1" w:styleId="53">
    <w:name w:val="段 Char"/>
    <w:basedOn w:val="21"/>
    <w:link w:val="44"/>
    <w:autoRedefine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54">
    <w:name w:val="脚注文本 Char"/>
    <w:basedOn w:val="21"/>
    <w:link w:val="15"/>
    <w:autoRedefine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55">
    <w:name w:val="apple-style-span"/>
    <w:basedOn w:val="21"/>
    <w:autoRedefine/>
    <w:qFormat/>
    <w:uiPriority w:val="0"/>
  </w:style>
  <w:style w:type="character" w:customStyle="1" w:styleId="56">
    <w:name w:val="apple-converted-space"/>
    <w:basedOn w:val="2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2293</Words>
  <Characters>2418</Characters>
  <Lines>43</Lines>
  <Paragraphs>12</Paragraphs>
  <TotalTime>0</TotalTime>
  <ScaleCrop>false</ScaleCrop>
  <LinksUpToDate>false</LinksUpToDate>
  <CharactersWithSpaces>3038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2025-06-10T09:22:12Z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F9BB0E67001E4E91A52CD2BC9CD1B1F4_12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