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53121">
      <w:pPr>
        <w:jc w:val="center"/>
      </w:pPr>
    </w:p>
    <w:p w14:paraId="4832E659">
      <w:pPr>
        <w:jc w:val="center"/>
      </w:pPr>
    </w:p>
    <w:p w14:paraId="1DBFF5CE">
      <w:pPr>
        <w:jc w:val="center"/>
      </w:pPr>
    </w:p>
    <w:p w14:paraId="2C07C0EB">
      <w:pPr>
        <w:jc w:val="center"/>
      </w:pPr>
    </w:p>
    <w:p w14:paraId="69DDECC0">
      <w:pPr>
        <w:jc w:val="center"/>
      </w:pPr>
    </w:p>
    <w:p w14:paraId="3A4AE19F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EF4566">
      <w:pPr>
        <w:jc w:val="center"/>
      </w:pPr>
    </w:p>
    <w:p w14:paraId="256652BB">
      <w:pPr>
        <w:jc w:val="center"/>
      </w:pPr>
    </w:p>
    <w:p w14:paraId="18C1DC5C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良好农业规范认证农场调查表</w:t>
      </w:r>
    </w:p>
    <w:p w14:paraId="0449697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32"/>
          <w:szCs w:val="32"/>
        </w:rPr>
        <w:t>（蜜蜂养殖）</w:t>
      </w:r>
    </w:p>
    <w:p w14:paraId="3725470B">
      <w:pPr>
        <w:jc w:val="center"/>
        <w:rPr>
          <w:b/>
          <w:sz w:val="44"/>
          <w:szCs w:val="44"/>
        </w:rPr>
      </w:pPr>
    </w:p>
    <w:p w14:paraId="71394B12">
      <w:pPr>
        <w:jc w:val="center"/>
        <w:rPr>
          <w:b/>
          <w:sz w:val="44"/>
          <w:szCs w:val="44"/>
        </w:rPr>
      </w:pPr>
    </w:p>
    <w:p w14:paraId="5320E9D9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</w:t>
      </w:r>
    </w:p>
    <w:p w14:paraId="5092BFAD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475D417A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</w:t>
      </w:r>
    </w:p>
    <w:p w14:paraId="0195B2FD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1D7C60EC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7BD744C8">
      <w:pPr>
        <w:jc w:val="center"/>
        <w:rPr>
          <w:b/>
          <w:sz w:val="44"/>
          <w:szCs w:val="44"/>
        </w:rPr>
      </w:pPr>
    </w:p>
    <w:p w14:paraId="791DDFE4">
      <w:pPr>
        <w:jc w:val="center"/>
        <w:rPr>
          <w:b/>
          <w:sz w:val="44"/>
          <w:szCs w:val="44"/>
        </w:rPr>
      </w:pPr>
    </w:p>
    <w:p w14:paraId="7FAA5DC4">
      <w:pPr>
        <w:jc w:val="center"/>
        <w:rPr>
          <w:b/>
          <w:sz w:val="44"/>
          <w:szCs w:val="44"/>
        </w:rPr>
      </w:pPr>
    </w:p>
    <w:p w14:paraId="371E9B56">
      <w:pPr>
        <w:jc w:val="center"/>
        <w:rPr>
          <w:b/>
          <w:sz w:val="44"/>
          <w:szCs w:val="44"/>
        </w:rPr>
      </w:pPr>
    </w:p>
    <w:p w14:paraId="0593FD30">
      <w:pPr>
        <w:jc w:val="center"/>
        <w:rPr>
          <w:b/>
          <w:sz w:val="44"/>
          <w:szCs w:val="44"/>
        </w:rPr>
      </w:pPr>
    </w:p>
    <w:p w14:paraId="4E7BAD8B">
      <w:pPr>
        <w:jc w:val="center"/>
        <w:rPr>
          <w:b/>
          <w:sz w:val="44"/>
          <w:szCs w:val="44"/>
        </w:rPr>
      </w:pPr>
    </w:p>
    <w:p w14:paraId="5B033F87">
      <w:pPr>
        <w:jc w:val="center"/>
        <w:rPr>
          <w:b/>
          <w:sz w:val="44"/>
          <w:szCs w:val="44"/>
        </w:rPr>
      </w:pPr>
    </w:p>
    <w:p w14:paraId="77BC3C0E">
      <w:pPr>
        <w:jc w:val="center"/>
        <w:rPr>
          <w:b/>
          <w:sz w:val="44"/>
          <w:szCs w:val="44"/>
        </w:rPr>
      </w:pPr>
    </w:p>
    <w:p w14:paraId="36E2BAD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7CBD2D6C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</w:t>
      </w:r>
    </w:p>
    <w:p w14:paraId="369953F4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007207D5">
      <w:pPr>
        <w:jc w:val="center"/>
        <w:rPr>
          <w:sz w:val="18"/>
          <w:szCs w:val="18"/>
        </w:rPr>
      </w:pPr>
    </w:p>
    <w:p w14:paraId="3BB1F57C">
      <w:pPr>
        <w:jc w:val="center"/>
        <w:rPr>
          <w:sz w:val="18"/>
          <w:szCs w:val="18"/>
        </w:rPr>
      </w:pPr>
    </w:p>
    <w:p w14:paraId="0226832B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0200B4AB">
      <w:pPr>
        <w:spacing w:line="360" w:lineRule="auto"/>
        <w:jc w:val="center"/>
        <w:rPr>
          <w:b/>
          <w:sz w:val="28"/>
          <w:szCs w:val="28"/>
        </w:rPr>
      </w:pPr>
    </w:p>
    <w:p w14:paraId="3B0678A1">
      <w:pPr>
        <w:numPr>
          <w:ilvl w:val="0"/>
          <w:numId w:val="3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0333B9C8"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2DF6A8C9">
      <w:pPr>
        <w:numPr>
          <w:ilvl w:val="0"/>
          <w:numId w:val="3"/>
        </w:num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629CC2CF">
      <w:pPr>
        <w:numPr>
          <w:ilvl w:val="0"/>
          <w:numId w:val="3"/>
        </w:num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0A140E48">
      <w:pPr>
        <w:spacing w:line="360" w:lineRule="auto"/>
        <w:rPr>
          <w:rFonts w:ascii="宋体" w:hAnsi="宋体"/>
          <w:sz w:val="28"/>
          <w:szCs w:val="28"/>
        </w:rPr>
      </w:pPr>
    </w:p>
    <w:p w14:paraId="5F1BE3B8">
      <w:pPr>
        <w:spacing w:line="360" w:lineRule="auto"/>
        <w:rPr>
          <w:rFonts w:ascii="宋体" w:hAnsi="宋体"/>
          <w:sz w:val="28"/>
          <w:szCs w:val="28"/>
        </w:rPr>
      </w:pPr>
    </w:p>
    <w:p w14:paraId="1D24C421">
      <w:pPr>
        <w:spacing w:line="360" w:lineRule="auto"/>
        <w:rPr>
          <w:rFonts w:ascii="宋体" w:hAnsi="宋体"/>
          <w:sz w:val="28"/>
          <w:szCs w:val="28"/>
        </w:rPr>
      </w:pPr>
    </w:p>
    <w:p w14:paraId="475FA1B0">
      <w:pPr>
        <w:spacing w:line="360" w:lineRule="auto"/>
        <w:rPr>
          <w:rFonts w:ascii="宋体" w:hAnsi="宋体"/>
          <w:sz w:val="28"/>
          <w:szCs w:val="28"/>
        </w:rPr>
      </w:pPr>
    </w:p>
    <w:p w14:paraId="1E8190E6">
      <w:pPr>
        <w:spacing w:line="360" w:lineRule="auto"/>
        <w:rPr>
          <w:rFonts w:ascii="宋体" w:hAnsi="宋体"/>
          <w:sz w:val="28"/>
          <w:szCs w:val="28"/>
        </w:rPr>
      </w:pPr>
    </w:p>
    <w:p w14:paraId="3237B1A0">
      <w:pPr>
        <w:spacing w:line="360" w:lineRule="auto"/>
        <w:rPr>
          <w:rFonts w:ascii="宋体" w:hAnsi="宋体"/>
          <w:sz w:val="28"/>
          <w:szCs w:val="28"/>
        </w:rPr>
      </w:pPr>
    </w:p>
    <w:p w14:paraId="2EDF186B">
      <w:pPr>
        <w:spacing w:line="360" w:lineRule="auto"/>
        <w:rPr>
          <w:rFonts w:ascii="宋体" w:hAnsi="宋体"/>
          <w:sz w:val="28"/>
          <w:szCs w:val="28"/>
        </w:rPr>
      </w:pPr>
    </w:p>
    <w:p w14:paraId="4EC5345D">
      <w:pPr>
        <w:spacing w:line="360" w:lineRule="auto"/>
        <w:rPr>
          <w:rFonts w:ascii="宋体" w:hAnsi="宋体"/>
          <w:sz w:val="28"/>
          <w:szCs w:val="28"/>
        </w:rPr>
      </w:pPr>
    </w:p>
    <w:p w14:paraId="4AF77476">
      <w:pPr>
        <w:spacing w:line="360" w:lineRule="auto"/>
        <w:rPr>
          <w:rFonts w:ascii="宋体" w:hAnsi="宋体"/>
          <w:sz w:val="28"/>
          <w:szCs w:val="28"/>
        </w:rPr>
      </w:pPr>
    </w:p>
    <w:p w14:paraId="2F3BD0DF">
      <w:pPr>
        <w:spacing w:line="360" w:lineRule="auto"/>
        <w:rPr>
          <w:rFonts w:ascii="宋体" w:hAnsi="宋体"/>
          <w:sz w:val="28"/>
          <w:szCs w:val="28"/>
        </w:rPr>
      </w:pPr>
    </w:p>
    <w:p w14:paraId="53DB0187">
      <w:pPr>
        <w:spacing w:line="360" w:lineRule="auto"/>
        <w:rPr>
          <w:rFonts w:ascii="宋体" w:hAnsi="宋体"/>
          <w:sz w:val="28"/>
          <w:szCs w:val="28"/>
        </w:rPr>
      </w:pPr>
    </w:p>
    <w:p w14:paraId="0DF1AF51">
      <w:pPr>
        <w:spacing w:line="360" w:lineRule="auto"/>
        <w:rPr>
          <w:rFonts w:ascii="宋体" w:hAnsi="宋体"/>
          <w:sz w:val="28"/>
          <w:szCs w:val="28"/>
        </w:rPr>
      </w:pPr>
    </w:p>
    <w:p w14:paraId="1D3DB687">
      <w:pPr>
        <w:spacing w:line="360" w:lineRule="auto"/>
        <w:rPr>
          <w:rFonts w:ascii="宋体" w:hAnsi="宋体"/>
          <w:sz w:val="28"/>
          <w:szCs w:val="28"/>
        </w:rPr>
      </w:pPr>
    </w:p>
    <w:p w14:paraId="7AC0F0E5">
      <w:pPr>
        <w:spacing w:line="360" w:lineRule="auto"/>
        <w:rPr>
          <w:rFonts w:ascii="宋体" w:hAnsi="宋体"/>
          <w:sz w:val="28"/>
          <w:szCs w:val="28"/>
        </w:rPr>
      </w:pPr>
    </w:p>
    <w:p w14:paraId="3AA65307">
      <w:pPr>
        <w:spacing w:line="360" w:lineRule="auto"/>
        <w:rPr>
          <w:rFonts w:ascii="宋体" w:hAnsi="宋体"/>
          <w:sz w:val="28"/>
          <w:szCs w:val="28"/>
        </w:rPr>
      </w:pPr>
    </w:p>
    <w:p w14:paraId="308D5ED0">
      <w:pPr>
        <w:spacing w:line="360" w:lineRule="auto"/>
        <w:rPr>
          <w:rFonts w:ascii="宋体" w:hAnsi="宋体"/>
          <w:sz w:val="28"/>
          <w:szCs w:val="28"/>
        </w:rPr>
      </w:pPr>
    </w:p>
    <w:p w14:paraId="5C18DD54">
      <w:pPr>
        <w:spacing w:line="360" w:lineRule="auto"/>
        <w:rPr>
          <w:rFonts w:ascii="宋体" w:hAnsi="宋体"/>
          <w:sz w:val="28"/>
          <w:szCs w:val="28"/>
        </w:rPr>
      </w:pPr>
    </w:p>
    <w:p w14:paraId="142AFF2C">
      <w:pPr>
        <w:spacing w:line="360" w:lineRule="auto"/>
        <w:rPr>
          <w:rFonts w:ascii="宋体" w:hAnsi="宋体"/>
          <w:sz w:val="28"/>
          <w:szCs w:val="28"/>
        </w:rPr>
      </w:pPr>
    </w:p>
    <w:p w14:paraId="6DB8DA9F">
      <w:pPr>
        <w:spacing w:line="360" w:lineRule="auto"/>
        <w:rPr>
          <w:rFonts w:ascii="宋体" w:hAnsi="宋体"/>
          <w:sz w:val="28"/>
          <w:szCs w:val="28"/>
        </w:rPr>
      </w:pPr>
    </w:p>
    <w:p w14:paraId="221AB293">
      <w:pPr>
        <w:spacing w:line="360" w:lineRule="auto"/>
        <w:rPr>
          <w:rFonts w:ascii="宋体" w:hAnsi="宋体"/>
          <w:sz w:val="28"/>
          <w:szCs w:val="28"/>
        </w:rPr>
      </w:pPr>
    </w:p>
    <w:p w14:paraId="1F845CD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ind w:left="420"/>
        <w:jc w:val="center"/>
        <w:textAlignment w:val="auto"/>
        <w:rPr>
          <w:rFonts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2BF69A3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Cs/>
          <w:color w:val="000000"/>
          <w:sz w:val="21"/>
          <w:szCs w:val="21"/>
        </w:rPr>
        <w:t>1</w:t>
      </w:r>
      <w:r>
        <w:rPr>
          <w:rFonts w:hint="eastAsia" w:ascii="黑体" w:eastAsia="黑体"/>
          <w:bCs/>
          <w:color w:val="000000"/>
          <w:sz w:val="21"/>
          <w:szCs w:val="21"/>
          <w:lang w:eastAsia="zh-CN"/>
        </w:rPr>
        <w:t>、</w:t>
      </w:r>
      <w:r>
        <w:rPr>
          <w:rFonts w:hint="eastAsia" w:ascii="黑体" w:eastAsia="黑体"/>
          <w:bCs/>
          <w:color w:val="000000"/>
          <w:sz w:val="21"/>
          <w:szCs w:val="21"/>
        </w:rPr>
        <w:t>生产企业与生产单元</w:t>
      </w:r>
    </w:p>
    <w:tbl>
      <w:tblPr>
        <w:tblStyle w:val="19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2583"/>
        <w:gridCol w:w="1220"/>
        <w:gridCol w:w="3530"/>
      </w:tblGrid>
      <w:tr w14:paraId="064D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jc w:val="center"/>
        </w:trPr>
        <w:tc>
          <w:tcPr>
            <w:tcW w:w="2521" w:type="dxa"/>
            <w:vAlign w:val="bottom"/>
          </w:tcPr>
          <w:p w14:paraId="41736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生产单元（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）名称</w:t>
            </w:r>
          </w:p>
        </w:tc>
        <w:tc>
          <w:tcPr>
            <w:tcW w:w="7333" w:type="dxa"/>
            <w:gridSpan w:val="3"/>
            <w:vAlign w:val="bottom"/>
          </w:tcPr>
          <w:p w14:paraId="791D43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00D8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521" w:type="dxa"/>
            <w:vAlign w:val="bottom"/>
          </w:tcPr>
          <w:p w14:paraId="317B90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生产单元（基地）地址</w:t>
            </w:r>
          </w:p>
        </w:tc>
        <w:tc>
          <w:tcPr>
            <w:tcW w:w="7333" w:type="dxa"/>
            <w:gridSpan w:val="3"/>
            <w:vAlign w:val="bottom"/>
          </w:tcPr>
          <w:p w14:paraId="3A1EC3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528C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1" w:type="dxa"/>
            <w:vAlign w:val="bottom"/>
          </w:tcPr>
          <w:p w14:paraId="770CC9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2583" w:type="dxa"/>
            <w:vAlign w:val="bottom"/>
          </w:tcPr>
          <w:p w14:paraId="37FBC8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20" w:type="dxa"/>
            <w:vAlign w:val="bottom"/>
          </w:tcPr>
          <w:p w14:paraId="170D9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电话/手机</w:t>
            </w:r>
          </w:p>
        </w:tc>
        <w:tc>
          <w:tcPr>
            <w:tcW w:w="3530" w:type="dxa"/>
            <w:vAlign w:val="bottom"/>
          </w:tcPr>
          <w:p w14:paraId="1F34D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E6BD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854" w:type="dxa"/>
            <w:gridSpan w:val="4"/>
            <w:vAlign w:val="bottom"/>
          </w:tcPr>
          <w:p w14:paraId="5F856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蜂场类型：□定地蜂场    □转地蜂场   □定地与转场结合</w:t>
            </w:r>
          </w:p>
        </w:tc>
      </w:tr>
    </w:tbl>
    <w:p w14:paraId="63D322A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hAnsi="宋体" w:eastAsia="黑体"/>
          <w:bCs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黑体" w:eastAsia="黑体"/>
          <w:color w:val="000000"/>
          <w:sz w:val="21"/>
          <w:szCs w:val="21"/>
        </w:rPr>
        <w:t>生产组织模式</w:t>
      </w:r>
    </w:p>
    <w:tbl>
      <w:tblPr>
        <w:tblStyle w:val="19"/>
        <w:tblW w:w="9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7"/>
      </w:tblGrid>
      <w:tr w14:paraId="17B31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9817" w:type="dxa"/>
            <w:vAlign w:val="top"/>
          </w:tcPr>
          <w:p w14:paraId="7CC85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2.1 生产组织模式：</w:t>
            </w:r>
          </w:p>
          <w:p w14:paraId="5933C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position w:val="-12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</w:t>
            </w:r>
          </w:p>
          <w:p w14:paraId="27C38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24C17D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2.2认证委托人（申请单位）与生产单元的关系：</w:t>
            </w:r>
          </w:p>
          <w:p w14:paraId="21F8F1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自有    □委托生产    □其他，</w:t>
            </w:r>
            <w:r>
              <w:rPr>
                <w:rFonts w:hint="eastAsia"/>
                <w:sz w:val="21"/>
                <w:szCs w:val="21"/>
              </w:rPr>
              <w:t>请描述：</w:t>
            </w:r>
            <w:r>
              <w:rPr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</w:t>
            </w:r>
          </w:p>
        </w:tc>
      </w:tr>
    </w:tbl>
    <w:p w14:paraId="24424B6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3、GAP认证历史</w:t>
      </w:r>
    </w:p>
    <w:tbl>
      <w:tblPr>
        <w:tblStyle w:val="19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1"/>
        <w:gridCol w:w="4870"/>
      </w:tblGrid>
      <w:tr w14:paraId="1D176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071" w:type="dxa"/>
            <w:vAlign w:val="center"/>
          </w:tcPr>
          <w:p w14:paraId="52857A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此前是否通过其他认证机构的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int="eastAsia" w:ascii="宋体" w:hAnsi="宋体"/>
                <w:sz w:val="21"/>
                <w:szCs w:val="21"/>
              </w:rPr>
              <w:t>认证</w:t>
            </w:r>
            <w:r>
              <w:rPr>
                <w:rFonts w:hint="eastAsia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26541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2D969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33461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证书有效期：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6D8E6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证书级别：□一级认证   □二级认证</w:t>
            </w:r>
          </w:p>
          <w:p w14:paraId="4FE1D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认证选项：□生产经营者  □生产经营者组织</w:t>
            </w:r>
          </w:p>
          <w:p w14:paraId="2C144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注册号：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</w:p>
          <w:p w14:paraId="1FC6E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证书号码：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</w:t>
            </w:r>
          </w:p>
        </w:tc>
      </w:tr>
      <w:tr w14:paraId="67952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5071" w:type="dxa"/>
            <w:vAlign w:val="center"/>
          </w:tcPr>
          <w:p w14:paraId="3E26C2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此前是否被拒绝通过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Ansi="宋体"/>
                <w:sz w:val="21"/>
                <w:szCs w:val="21"/>
              </w:rPr>
              <w:t>认证</w:t>
            </w:r>
            <w:r>
              <w:rPr>
                <w:rFonts w:hint="eastAsia" w:hAnsi="宋体"/>
                <w:sz w:val="21"/>
                <w:szCs w:val="21"/>
              </w:rPr>
              <w:t>或被撤销过认证证书</w:t>
            </w:r>
            <w:r>
              <w:rPr>
                <w:rFonts w:hAnsi="宋体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0925C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0005C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6622F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被拒绝/撤销认证原因：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</w:tc>
      </w:tr>
    </w:tbl>
    <w:p w14:paraId="084790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6" w:beforeLines="50" w:after="156" w:afterLines="50" w:line="240" w:lineRule="exact"/>
        <w:jc w:val="center"/>
        <w:textAlignment w:val="auto"/>
        <w:rPr>
          <w:rFonts w:hint="eastAsia" w:ascii="黑体" w:eastAsia="黑体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 xml:space="preserve">第二部分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蜜蜂</w:t>
      </w:r>
      <w:r>
        <w:rPr>
          <w:rFonts w:hint="eastAsia" w:ascii="黑体" w:eastAsia="黑体"/>
          <w:b/>
          <w:color w:val="000000"/>
          <w:sz w:val="21"/>
          <w:szCs w:val="21"/>
        </w:rPr>
        <w:t>养殖</w:t>
      </w:r>
    </w:p>
    <w:p w14:paraId="23F831C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1、蜂场</w:t>
      </w:r>
    </w:p>
    <w:tbl>
      <w:tblPr>
        <w:tblStyle w:val="19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8010"/>
      </w:tblGrid>
      <w:tr w14:paraId="53362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961" w:type="dxa"/>
            <w:gridSpan w:val="2"/>
          </w:tcPr>
          <w:p w14:paraId="4D339B04">
            <w:pPr>
              <w:pStyle w:val="4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>1.1场址</w:t>
            </w:r>
          </w:p>
        </w:tc>
      </w:tr>
      <w:tr w14:paraId="21BB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51" w:type="dxa"/>
            <w:vAlign w:val="center"/>
          </w:tcPr>
          <w:p w14:paraId="5B1AEBDB">
            <w:pPr>
              <w:pStyle w:val="4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蜂场环境</w:t>
            </w:r>
          </w:p>
        </w:tc>
        <w:tc>
          <w:tcPr>
            <w:tcW w:w="8010" w:type="dxa"/>
          </w:tcPr>
          <w:p w14:paraId="0EF3DC4B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远离□粉尘 □居民点 □繁忙交通干道 □化工厂；</w:t>
            </w:r>
          </w:p>
          <w:p w14:paraId="1E0C26DF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符合□地势高燥□背风向阳 □无有害气体 □无烟雾 □无其它污染物 □排水良好 □小气候适宜的地方。</w:t>
            </w:r>
          </w:p>
          <w:p w14:paraId="3A5EE700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定地饲养的蜂场间的间隔应不小于3 km；□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23331907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在离蜂场半径5 km的范围是否存在（若是点选）：□农药厂</w:t>
            </w: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□农药仓库和以蜜</w:t>
            </w:r>
          </w:p>
          <w:p w14:paraId="5FD3C184">
            <w:pPr>
              <w:pStyle w:val="44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□糖为原料的食品厂。</w:t>
            </w:r>
          </w:p>
        </w:tc>
      </w:tr>
      <w:tr w14:paraId="18120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7B4035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蜂场（包括采蜜区）空气质量</w:t>
            </w:r>
          </w:p>
        </w:tc>
        <w:tc>
          <w:tcPr>
            <w:tcW w:w="8010" w:type="dxa"/>
          </w:tcPr>
          <w:p w14:paraId="5B309EEC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空气中各种污染物的浓度限值应符合GB 3095中二类区（执行2级标准）的要求：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 w14:paraId="0F33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0CF4DA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蜂场附近水源</w:t>
            </w:r>
          </w:p>
        </w:tc>
        <w:tc>
          <w:tcPr>
            <w:tcW w:w="8010" w:type="dxa"/>
          </w:tcPr>
          <w:p w14:paraId="7BE410FE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水质应符合NY 5027中幼畜饮用水标准。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 w14:paraId="4FB10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059493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转地路线、平面布局图、运输</w:t>
            </w:r>
          </w:p>
        </w:tc>
        <w:tc>
          <w:tcPr>
            <w:tcW w:w="8010" w:type="dxa"/>
          </w:tcPr>
          <w:p w14:paraId="4BB335DB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若为转地蜂场，应有标明全部养蜂场所的蜂场分布图。</w:t>
            </w:r>
          </w:p>
          <w:p w14:paraId="16C7DF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定地饲养的蜂场应有标著养蜂场所的地理位置示意图。</w:t>
            </w:r>
          </w:p>
          <w:p w14:paraId="391A9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出示年度更新的蜂场分布图，标明蜂场名称（或编号）所在的地理位置。</w:t>
            </w:r>
          </w:p>
          <w:p w14:paraId="2C30DD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制作与之相对应的年度更新的蜂场统计表，表明蜂场名称（或编号）、地点、蜜粉源植物、蜂群数量、蜜蜂产品名称及其预计数量、负责人等信息。</w:t>
            </w:r>
          </w:p>
          <w:p w14:paraId="070011FB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布局图是否包括以下信息（是点选）：</w:t>
            </w:r>
          </w:p>
          <w:p w14:paraId="42472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20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周围环境的描述，例如周边农药厂、化工厂、食品厂等，以及水源、蜜粉源植被分布；</w:t>
            </w:r>
          </w:p>
          <w:p w14:paraId="157D31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主要区域、入口位置；</w:t>
            </w:r>
          </w:p>
          <w:p w14:paraId="319491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主要设施和设备位置；</w:t>
            </w:r>
          </w:p>
          <w:p w14:paraId="0AD73B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蜂群（箱）位置及其编号。</w:t>
            </w:r>
          </w:p>
          <w:p w14:paraId="0841B098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转地饲养蜂场应表明转地路线。</w:t>
            </w:r>
          </w:p>
          <w:p w14:paraId="0435AEE9">
            <w:pPr>
              <w:pStyle w:val="3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出示包含每个蜂场转地饲养的转地路线、转运方式、日期和蜜粉源植物花期、长势、流蜜状况等信息的书面材料。</w:t>
            </w:r>
          </w:p>
          <w:p w14:paraId="4BF48C77">
            <w:pPr>
              <w:pStyle w:val="31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运输途中的管理应符合：</w:t>
            </w:r>
          </w:p>
          <w:p w14:paraId="778B9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做好运前调整群势、食料、包装等准备； </w:t>
            </w:r>
          </w:p>
          <w:p w14:paraId="71A0F2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20" w:leftChars="20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在装运蜂群之前对运输线路、装运蜂群的车、船等交通工具的安全性和相关事项有评估预案；</w:t>
            </w:r>
          </w:p>
          <w:p w14:paraId="484F5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不能用被农兽药及有毒有害物质污染的车、船等运输工具，装运蜂群；</w:t>
            </w:r>
          </w:p>
        </w:tc>
      </w:tr>
      <w:tr w14:paraId="78AD7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1" w:type="dxa"/>
            <w:gridSpan w:val="2"/>
            <w:vAlign w:val="center"/>
          </w:tcPr>
          <w:p w14:paraId="6E2C6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val="en-US" w:eastAsia="zh-CN"/>
              </w:rPr>
              <w:t>1.2蜜粉源</w:t>
            </w:r>
          </w:p>
        </w:tc>
      </w:tr>
      <w:tr w14:paraId="18315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  <w:vAlign w:val="center"/>
          </w:tcPr>
          <w:p w14:paraId="7693A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蜜粉源植物</w:t>
            </w:r>
          </w:p>
        </w:tc>
        <w:tc>
          <w:tcPr>
            <w:tcW w:w="8010" w:type="dxa"/>
            <w:shd w:val="clear" w:color="auto" w:fill="auto"/>
            <w:vAlign w:val="top"/>
          </w:tcPr>
          <w:p w14:paraId="5CF1F219">
            <w:pPr>
              <w:pStyle w:val="31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距蜂场3 km范围内具备较丰富的蜜粉源植物；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64AAF5E4">
            <w:pPr>
              <w:pStyle w:val="31"/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0" w:hanging="42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定地蜂场附近至少要有一种以上主要蜜粉源植物和种类较多、花期交错的辅助蜜粉源植物。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是，主要蜜粉源植物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 w14:paraId="10CCA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  <w:vAlign w:val="center"/>
          </w:tcPr>
          <w:p w14:paraId="6BD59D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半径5 km范围内是否存在有毒蜜粉植物</w:t>
            </w:r>
          </w:p>
        </w:tc>
        <w:tc>
          <w:tcPr>
            <w:tcW w:w="8010" w:type="dxa"/>
            <w:shd w:val="clear" w:color="auto" w:fill="auto"/>
            <w:vAlign w:val="top"/>
          </w:tcPr>
          <w:p w14:paraId="09582A1A">
            <w:pPr>
              <w:pStyle w:val="31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是否列出蜂场半径5 km范围内有毒蜜粉植物名称及其开花期一览表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2563CF98">
            <w:pPr>
              <w:pStyle w:val="31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针对有毒蜜粉源所采取的主要应对措施：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 w14:paraId="3666A67C">
            <w:pPr>
              <w:pStyle w:val="31"/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0" w:hanging="42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主要有毒蜜粉植物有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</w:tr>
      <w:tr w14:paraId="6B2F8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  <w:vAlign w:val="center"/>
          </w:tcPr>
          <w:p w14:paraId="479A62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防止蜂群农药中毒</w:t>
            </w:r>
          </w:p>
        </w:tc>
        <w:tc>
          <w:tcPr>
            <w:tcW w:w="8010" w:type="dxa"/>
            <w:shd w:val="clear" w:color="auto" w:fill="auto"/>
            <w:vAlign w:val="top"/>
          </w:tcPr>
          <w:p w14:paraId="7677B6F9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蜂场管理者是否与当地农民建立良好关系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否；</w:t>
            </w:r>
          </w:p>
          <w:p w14:paraId="65DF43CC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蜂场管理者是否与当地农户保持有效的沟通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否；</w:t>
            </w:r>
          </w:p>
          <w:p w14:paraId="239BBD6D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蜂场是否能及时获得蜜粉源植物用药情况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否；</w:t>
            </w:r>
          </w:p>
          <w:p w14:paraId="2E56A798">
            <w:pPr>
              <w:pStyle w:val="44"/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养蜂者到达蜜粉源植物种植区放蜂时，是否告知周边3 km以内的村级组织或管理单位，在放蜂区种植蜜粉源植物的单位和个人，应当避免在盛花期施用农药。确需施用农药时，应当选用对蜜蜂低毒的农药品种；□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75DB935A">
            <w:pPr>
              <w:pStyle w:val="31"/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养蜂者是否了解主要流蜜期大宗农作物农药防治情况（包括用药时间、用药习惯等），避开农药使用期，以免发生农药中毒；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 w14:paraId="3032B1F6">
            <w:pPr>
              <w:pStyle w:val="31"/>
              <w:keepNext w:val="0"/>
              <w:keepLines w:val="0"/>
              <w:pageBreakBefore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ind w:left="420" w:leftChars="0" w:hanging="42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养蜂者接到农药施用作业通知后应当相互告知，是否及时采取安全防范措施。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</w:tbl>
    <w:p w14:paraId="5E3C3B3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2、养蜂机具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430"/>
        <w:gridCol w:w="1680"/>
        <w:gridCol w:w="3830"/>
      </w:tblGrid>
      <w:tr w14:paraId="01BA3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  <w:vAlign w:val="center"/>
          </w:tcPr>
          <w:p w14:paraId="7E061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设备名称</w:t>
            </w:r>
          </w:p>
        </w:tc>
        <w:tc>
          <w:tcPr>
            <w:tcW w:w="2430" w:type="dxa"/>
            <w:vAlign w:val="center"/>
          </w:tcPr>
          <w:p w14:paraId="646A4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材质</w:t>
            </w:r>
          </w:p>
        </w:tc>
        <w:tc>
          <w:tcPr>
            <w:tcW w:w="1680" w:type="dxa"/>
            <w:tcBorders>
              <w:right w:val="single" w:color="auto" w:sz="4" w:space="0"/>
            </w:tcBorders>
            <w:vAlign w:val="center"/>
          </w:tcPr>
          <w:p w14:paraId="48F388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3830" w:type="dxa"/>
            <w:tcBorders>
              <w:left w:val="single" w:color="auto" w:sz="4" w:space="0"/>
            </w:tcBorders>
            <w:vAlign w:val="center"/>
          </w:tcPr>
          <w:p w14:paraId="33B08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主要用途</w:t>
            </w:r>
          </w:p>
        </w:tc>
      </w:tr>
      <w:tr w14:paraId="178E6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14018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18CC6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5AEB2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758687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25772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328AD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479A98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1F3E2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0A8E6F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45C4B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633EB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1D14A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4E136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334F3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205EA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031" w:type="dxa"/>
          </w:tcPr>
          <w:p w14:paraId="1BD40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527CE0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728D5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3E4741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2A8F4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1" w:type="dxa"/>
          </w:tcPr>
          <w:p w14:paraId="53204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30" w:type="dxa"/>
          </w:tcPr>
          <w:p w14:paraId="6C3633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color="auto" w:sz="4" w:space="0"/>
            </w:tcBorders>
          </w:tcPr>
          <w:p w14:paraId="3FA6A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3830" w:type="dxa"/>
            <w:tcBorders>
              <w:left w:val="single" w:color="auto" w:sz="4" w:space="0"/>
            </w:tcBorders>
          </w:tcPr>
          <w:p w14:paraId="34162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395B0D2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3、引种</w:t>
      </w:r>
    </w:p>
    <w:tbl>
      <w:tblPr>
        <w:tblStyle w:val="19"/>
        <w:tblW w:w="99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702"/>
        <w:gridCol w:w="4066"/>
        <w:gridCol w:w="2385"/>
      </w:tblGrid>
      <w:tr w14:paraId="704E9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</w:tcPr>
          <w:p w14:paraId="00CFB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引入蜂群/蜂王</w:t>
            </w:r>
          </w:p>
        </w:tc>
        <w:tc>
          <w:tcPr>
            <w:tcW w:w="1702" w:type="dxa"/>
          </w:tcPr>
          <w:p w14:paraId="176565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品种</w:t>
            </w:r>
          </w:p>
        </w:tc>
        <w:tc>
          <w:tcPr>
            <w:tcW w:w="4066" w:type="dxa"/>
            <w:tcBorders>
              <w:right w:val="single" w:color="auto" w:sz="4" w:space="0"/>
            </w:tcBorders>
          </w:tcPr>
          <w:p w14:paraId="4B00E1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来源</w:t>
            </w:r>
          </w:p>
        </w:tc>
        <w:tc>
          <w:tcPr>
            <w:tcW w:w="2385" w:type="dxa"/>
            <w:tcBorders>
              <w:left w:val="single" w:color="auto" w:sz="4" w:space="0"/>
            </w:tcBorders>
          </w:tcPr>
          <w:p w14:paraId="6B5986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</w:tr>
      <w:tr w14:paraId="20BA5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8" w:type="dxa"/>
          </w:tcPr>
          <w:p w14:paraId="6E0FE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02" w:type="dxa"/>
          </w:tcPr>
          <w:p w14:paraId="0085E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4066" w:type="dxa"/>
            <w:tcBorders>
              <w:right w:val="single" w:color="auto" w:sz="4" w:space="0"/>
            </w:tcBorders>
          </w:tcPr>
          <w:p w14:paraId="11B03F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385" w:type="dxa"/>
            <w:tcBorders>
              <w:left w:val="single" w:color="auto" w:sz="4" w:space="0"/>
            </w:tcBorders>
          </w:tcPr>
          <w:p w14:paraId="1AAD2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5F7A0E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4、饲喂管理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2078"/>
        <w:gridCol w:w="1896"/>
        <w:gridCol w:w="1556"/>
        <w:gridCol w:w="2758"/>
      </w:tblGrid>
      <w:tr w14:paraId="70AE6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1" w:type="dxa"/>
            <w:gridSpan w:val="5"/>
            <w:vAlign w:val="center"/>
          </w:tcPr>
          <w:p w14:paraId="126D6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4.1饲料</w:t>
            </w:r>
          </w:p>
        </w:tc>
      </w:tr>
      <w:tr w14:paraId="798D5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  <w:vAlign w:val="center"/>
          </w:tcPr>
          <w:p w14:paraId="614A4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饲料种类</w:t>
            </w:r>
          </w:p>
        </w:tc>
        <w:tc>
          <w:tcPr>
            <w:tcW w:w="2078" w:type="dxa"/>
            <w:vAlign w:val="center"/>
          </w:tcPr>
          <w:p w14:paraId="6A0EC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饲料来源</w:t>
            </w:r>
          </w:p>
        </w:tc>
        <w:tc>
          <w:tcPr>
            <w:tcW w:w="1896" w:type="dxa"/>
            <w:vAlign w:val="center"/>
          </w:tcPr>
          <w:p w14:paraId="5FA01F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饲喂类型</w:t>
            </w:r>
          </w:p>
        </w:tc>
        <w:tc>
          <w:tcPr>
            <w:tcW w:w="1556" w:type="dxa"/>
            <w:vAlign w:val="center"/>
          </w:tcPr>
          <w:p w14:paraId="7867B7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饲喂时间</w:t>
            </w:r>
          </w:p>
        </w:tc>
        <w:tc>
          <w:tcPr>
            <w:tcW w:w="2758" w:type="dxa"/>
            <w:vAlign w:val="center"/>
          </w:tcPr>
          <w:p w14:paraId="52A16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饲料需求量</w:t>
            </w:r>
          </w:p>
        </w:tc>
      </w:tr>
      <w:tr w14:paraId="2A885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 w14:paraId="487C9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78" w:type="dxa"/>
          </w:tcPr>
          <w:p w14:paraId="7C05E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896" w:type="dxa"/>
          </w:tcPr>
          <w:p w14:paraId="112F2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56" w:type="dxa"/>
          </w:tcPr>
          <w:p w14:paraId="49B035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758" w:type="dxa"/>
          </w:tcPr>
          <w:p w14:paraId="7C4731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74D39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1" w:type="dxa"/>
            <w:gridSpan w:val="5"/>
          </w:tcPr>
          <w:p w14:paraId="5D9FE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4.2饮水</w:t>
            </w:r>
          </w:p>
        </w:tc>
      </w:tr>
      <w:tr w14:paraId="24CBF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  <w:vAlign w:val="center"/>
          </w:tcPr>
          <w:p w14:paraId="597AF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水源类型</w:t>
            </w:r>
          </w:p>
        </w:tc>
        <w:tc>
          <w:tcPr>
            <w:tcW w:w="8288" w:type="dxa"/>
            <w:gridSpan w:val="4"/>
            <w:vAlign w:val="center"/>
          </w:tcPr>
          <w:p w14:paraId="7AA513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水源分布描述</w:t>
            </w:r>
          </w:p>
        </w:tc>
      </w:tr>
      <w:tr w14:paraId="6B2A9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  <w:vAlign w:val="top"/>
          </w:tcPr>
          <w:p w14:paraId="7184EC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8288" w:type="dxa"/>
            <w:gridSpan w:val="4"/>
            <w:vAlign w:val="top"/>
          </w:tcPr>
          <w:p w14:paraId="2296CF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062AA7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5、用药管理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8124"/>
      </w:tblGrid>
      <w:tr w14:paraId="7C32A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</w:tcPr>
          <w:p w14:paraId="72A43E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常见疾病种类</w:t>
            </w:r>
          </w:p>
        </w:tc>
        <w:tc>
          <w:tcPr>
            <w:tcW w:w="8124" w:type="dxa"/>
          </w:tcPr>
          <w:p w14:paraId="780052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常用的治疗方式</w:t>
            </w:r>
          </w:p>
        </w:tc>
      </w:tr>
      <w:tr w14:paraId="0D262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</w:tcPr>
          <w:p w14:paraId="7FDF8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8124" w:type="dxa"/>
          </w:tcPr>
          <w:p w14:paraId="285C77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45A01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</w:tcPr>
          <w:p w14:paraId="6EE07C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8124" w:type="dxa"/>
          </w:tcPr>
          <w:p w14:paraId="3BAFB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462C2BD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6、场地和设备清洁和消毒</w:t>
      </w:r>
    </w:p>
    <w:tbl>
      <w:tblPr>
        <w:tblStyle w:val="19"/>
        <w:tblW w:w="99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771"/>
        <w:gridCol w:w="1295"/>
        <w:gridCol w:w="2390"/>
        <w:gridCol w:w="2700"/>
      </w:tblGrid>
      <w:tr w14:paraId="61B51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815" w:type="dxa"/>
            <w:vAlign w:val="center"/>
          </w:tcPr>
          <w:p w14:paraId="1C260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清洁、消毒种类</w:t>
            </w:r>
          </w:p>
        </w:tc>
        <w:tc>
          <w:tcPr>
            <w:tcW w:w="1771" w:type="dxa"/>
            <w:vAlign w:val="center"/>
          </w:tcPr>
          <w:p w14:paraId="24B77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作业范围</w:t>
            </w:r>
          </w:p>
        </w:tc>
        <w:tc>
          <w:tcPr>
            <w:tcW w:w="1295" w:type="dxa"/>
            <w:vAlign w:val="center"/>
          </w:tcPr>
          <w:p w14:paraId="22450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作业频率</w:t>
            </w:r>
          </w:p>
        </w:tc>
        <w:tc>
          <w:tcPr>
            <w:tcW w:w="2390" w:type="dxa"/>
            <w:vAlign w:val="center"/>
          </w:tcPr>
          <w:p w14:paraId="55A228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作业方式</w:t>
            </w:r>
          </w:p>
        </w:tc>
        <w:tc>
          <w:tcPr>
            <w:tcW w:w="2700" w:type="dxa"/>
            <w:vAlign w:val="center"/>
          </w:tcPr>
          <w:p w14:paraId="1A870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投入物名称、浓度</w:t>
            </w:r>
          </w:p>
        </w:tc>
      </w:tr>
      <w:tr w14:paraId="58BC7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</w:tcPr>
          <w:p w14:paraId="5648C7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1" w:type="dxa"/>
          </w:tcPr>
          <w:p w14:paraId="58989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</w:tcPr>
          <w:p w14:paraId="39BD10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90" w:type="dxa"/>
          </w:tcPr>
          <w:p w14:paraId="6DED99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1D3423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  <w:tr w14:paraId="7F1B0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</w:tcPr>
          <w:p w14:paraId="560B10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1" w:type="dxa"/>
          </w:tcPr>
          <w:p w14:paraId="74B2D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95" w:type="dxa"/>
          </w:tcPr>
          <w:p w14:paraId="7DB1B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90" w:type="dxa"/>
          </w:tcPr>
          <w:p w14:paraId="67A09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5C699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1510C90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7、产品销售和认证标识使用情况</w:t>
      </w:r>
    </w:p>
    <w:tbl>
      <w:tblPr>
        <w:tblStyle w:val="19"/>
        <w:tblW w:w="99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3298"/>
        <w:gridCol w:w="1263"/>
        <w:gridCol w:w="1642"/>
        <w:gridCol w:w="2305"/>
      </w:tblGrid>
      <w:tr w14:paraId="4B56D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vAlign w:val="center"/>
          </w:tcPr>
          <w:p w14:paraId="2D9A9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3298" w:type="dxa"/>
            <w:vAlign w:val="center"/>
          </w:tcPr>
          <w:p w14:paraId="57F62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263" w:type="dxa"/>
            <w:vAlign w:val="center"/>
          </w:tcPr>
          <w:p w14:paraId="4F7A10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642" w:type="dxa"/>
            <w:vAlign w:val="center"/>
          </w:tcPr>
          <w:p w14:paraId="2C4D8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4322D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2305" w:type="dxa"/>
            <w:vAlign w:val="center"/>
          </w:tcPr>
          <w:p w14:paraId="2741C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398B4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vAlign w:val="center"/>
          </w:tcPr>
          <w:p w14:paraId="4D29C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3298" w:type="dxa"/>
            <w:vAlign w:val="center"/>
          </w:tcPr>
          <w:p w14:paraId="4074F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74EAA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642" w:type="dxa"/>
            <w:vAlign w:val="center"/>
          </w:tcPr>
          <w:p w14:paraId="5BE962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05" w:type="dxa"/>
            <w:vAlign w:val="center"/>
          </w:tcPr>
          <w:p w14:paraId="3773C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</w:p>
        </w:tc>
      </w:tr>
    </w:tbl>
    <w:p w14:paraId="4ED50B7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8、年度生产计划</w:t>
      </w:r>
    </w:p>
    <w:p w14:paraId="15DE4C1D">
      <w:pPr>
        <w:keepNext w:val="0"/>
        <w:keepLines w:val="0"/>
        <w:pageBreakBefore w:val="0"/>
        <w:tabs>
          <w:tab w:val="left" w:pos="567"/>
        </w:tabs>
        <w:kinsoku/>
        <w:wordWrap/>
        <w:overflowPunct/>
        <w:topLinePunct w:val="0"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  <w:t>是否制定了养殖年度GAP生产计划（具体养殖计划）等：□是 ，请附件   □否</w:t>
      </w:r>
    </w:p>
    <w:p w14:paraId="277D69B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6526247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1、GAP认证证书与标识使用情况</w:t>
      </w:r>
    </w:p>
    <w:tbl>
      <w:tblPr>
        <w:tblStyle w:val="19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7A6EB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7B2385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10988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58373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44B181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3B529E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245E7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00CAF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073149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77A07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3DE83B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763759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4612CA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22EA48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11864C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07B78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32127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0ED8A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07336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5AC28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09489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58ABF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3E7DC3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92BE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535A8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7AA4E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739474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404F47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54319C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1BF48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6FFE13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6849D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2686FB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0E01D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4B909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559481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19CC3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5F461C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0395D3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0A627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10CBDA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784DFAE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2、质量管理体系情况调查</w:t>
      </w:r>
    </w:p>
    <w:tbl>
      <w:tblPr>
        <w:tblStyle w:val="19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00165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61" w:type="dxa"/>
            <w:vAlign w:val="center"/>
          </w:tcPr>
          <w:p w14:paraId="4FC35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0647C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73414B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389A7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39A6F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3.是否保存了有效的GAP生产记录？          </w:t>
            </w:r>
            <w:bookmarkStart w:id="0" w:name="_GoBack"/>
            <w:bookmarkEnd w:id="0"/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   □是    □否</w:t>
            </w:r>
          </w:p>
        </w:tc>
      </w:tr>
    </w:tbl>
    <w:p w14:paraId="6A986F3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3、资源管理</w:t>
      </w:r>
    </w:p>
    <w:tbl>
      <w:tblPr>
        <w:tblStyle w:val="19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3F4F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34EB5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3874C7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433D6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71249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1D6621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570DB7C0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1944242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7ACAA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4C51B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481B2FC6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51E0703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</w:tbl>
    <w:p w14:paraId="080CE5AD">
      <w:pPr>
        <w:tabs>
          <w:tab w:val="left" w:pos="567"/>
        </w:tabs>
        <w:spacing w:line="360" w:lineRule="auto"/>
        <w:rPr>
          <w:rFonts w:hint="eastAsia" w:ascii="宋体" w:hAnsi="宋体" w:eastAsia="宋体" w:cs="宋体"/>
          <w:b w:val="0"/>
          <w:bCs/>
          <w:snapToGrid w:val="0"/>
          <w:color w:val="000000"/>
          <w:sz w:val="21"/>
          <w:szCs w:val="21"/>
        </w:rPr>
      </w:pPr>
    </w:p>
    <w:p w14:paraId="7F6CC205">
      <w:pPr>
        <w:spacing w:beforeLines="50" w:afterLines="50"/>
        <w:jc w:val="center"/>
        <w:rPr>
          <w:rFonts w:hint="eastAsia"/>
          <w:b/>
          <w:sz w:val="24"/>
          <w:szCs w:val="24"/>
        </w:rPr>
      </w:pPr>
    </w:p>
    <w:p w14:paraId="09B5910C">
      <w:pPr>
        <w:spacing w:beforeLines="50" w:afterLines="50"/>
        <w:jc w:val="center"/>
        <w:rPr>
          <w:rFonts w:hint="eastAsia"/>
          <w:b/>
          <w:sz w:val="24"/>
          <w:szCs w:val="24"/>
        </w:rPr>
      </w:pPr>
    </w:p>
    <w:p w14:paraId="11225C69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63751676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产品标准的需要。同时我也知道，即使本调查内容经审查得到通过，并不意味着申报产品通过了GAP产品认证。</w:t>
      </w:r>
    </w:p>
    <w:p w14:paraId="18919816">
      <w:pPr>
        <w:spacing w:line="360" w:lineRule="auto"/>
        <w:ind w:firstLine="420"/>
        <w:rPr>
          <w:b/>
          <w:sz w:val="24"/>
          <w:szCs w:val="24"/>
        </w:rPr>
      </w:pPr>
    </w:p>
    <w:p w14:paraId="23745B76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</w:t>
      </w:r>
      <w:r>
        <w:rPr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b/>
          <w:sz w:val="24"/>
          <w:u w:val="single"/>
        </w:rPr>
        <w:t xml:space="preserve">  </w:t>
      </w:r>
    </w:p>
    <w:p w14:paraId="06502852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55FBC3A0">
      <w:pPr>
        <w:jc w:val="center"/>
        <w:rPr>
          <w:sz w:val="18"/>
          <w:szCs w:val="18"/>
        </w:rPr>
      </w:pPr>
    </w:p>
    <w:p w14:paraId="1572E660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25AB0F25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244427AE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041E1797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5"/>
          <w:rFonts w:ascii="宋体" w:hAnsi="宋体"/>
          <w:szCs w:val="21"/>
          <w:lang w:val="de-DE"/>
        </w:rPr>
        <w:t>www.</w:t>
      </w:r>
      <w:r>
        <w:rPr>
          <w:rStyle w:val="25"/>
          <w:rFonts w:hint="eastAsia" w:ascii="宋体" w:hAnsi="宋体"/>
          <w:szCs w:val="21"/>
          <w:lang w:val="de-DE"/>
        </w:rPr>
        <w:t>obt-int</w:t>
      </w:r>
      <w:r>
        <w:rPr>
          <w:rStyle w:val="25"/>
          <w:rFonts w:ascii="宋体" w:hAnsi="宋体"/>
          <w:szCs w:val="21"/>
          <w:lang w:val="de-DE"/>
        </w:rPr>
        <w:t>.c</w:t>
      </w:r>
      <w:r>
        <w:rPr>
          <w:rStyle w:val="25"/>
          <w:rFonts w:hint="eastAsia" w:ascii="宋体" w:hAnsi="宋体"/>
          <w:szCs w:val="21"/>
          <w:lang w:val="de-DE"/>
        </w:rPr>
        <w:t>om</w:t>
      </w:r>
      <w:r>
        <w:rPr>
          <w:rStyle w:val="25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723DCDAA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F1B59">
    <w:pPr>
      <w:pStyle w:val="14"/>
      <w:pBdr>
        <w:bottom w:val="single" w:color="auto" w:sz="4" w:space="0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310515" cy="198755"/>
          <wp:effectExtent l="0" t="0" r="6985" b="4445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0515" cy="198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 xml:space="preserve">05-4     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/>
        <w:sz w:val="18"/>
        <w:szCs w:val="18"/>
      </w:rPr>
      <w:t xml:space="preserve">   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版本： 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   </w:t>
    </w:r>
    <w:r>
      <w:rPr>
        <w:rFonts w:hint="eastAsia"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  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02/</w:t>
    </w:r>
    <w:r>
      <w:rPr>
        <w:rFonts w:hint="eastAsia" w:ascii="宋体" w:hAnsi="宋体"/>
        <w:sz w:val="18"/>
        <w:szCs w:val="18"/>
      </w:rPr>
      <w:t>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1653D46"/>
    <w:multiLevelType w:val="multilevel"/>
    <w:tmpl w:val="31653D4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7CC57C3"/>
    <w:multiLevelType w:val="multilevel"/>
    <w:tmpl w:val="37CC57C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A6334F1"/>
    <w:multiLevelType w:val="multilevel"/>
    <w:tmpl w:val="3A6334F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D733618"/>
    <w:multiLevelType w:val="multilevel"/>
    <w:tmpl w:val="3D733618"/>
    <w:lvl w:ilvl="0" w:tentative="0">
      <w:start w:val="1"/>
      <w:numFmt w:val="decimal"/>
      <w:pStyle w:val="1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5">
    <w:nsid w:val="3F462873"/>
    <w:multiLevelType w:val="multilevel"/>
    <w:tmpl w:val="3F46287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9493471"/>
    <w:multiLevelType w:val="multilevel"/>
    <w:tmpl w:val="4949347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6A382BBB"/>
    <w:multiLevelType w:val="multilevel"/>
    <w:tmpl w:val="6A382BB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76933334"/>
    <w:multiLevelType w:val="multilevel"/>
    <w:tmpl w:val="76933334"/>
    <w:lvl w:ilvl="0" w:tentative="0">
      <w:start w:val="1"/>
      <w:numFmt w:val="none"/>
      <w:pStyle w:val="45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FF2"/>
    <w:rsid w:val="00020F21"/>
    <w:rsid w:val="00055BFE"/>
    <w:rsid w:val="00057E1B"/>
    <w:rsid w:val="00085D27"/>
    <w:rsid w:val="000A24BB"/>
    <w:rsid w:val="000A26DF"/>
    <w:rsid w:val="000A52F5"/>
    <w:rsid w:val="000A78C0"/>
    <w:rsid w:val="000B4FAA"/>
    <w:rsid w:val="000B790C"/>
    <w:rsid w:val="000C5094"/>
    <w:rsid w:val="00106296"/>
    <w:rsid w:val="00112698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07540"/>
    <w:rsid w:val="00332E8C"/>
    <w:rsid w:val="0033737B"/>
    <w:rsid w:val="00341A3B"/>
    <w:rsid w:val="00367360"/>
    <w:rsid w:val="00371BB6"/>
    <w:rsid w:val="00380751"/>
    <w:rsid w:val="0038295B"/>
    <w:rsid w:val="003C6222"/>
    <w:rsid w:val="003C77E0"/>
    <w:rsid w:val="003E5D7D"/>
    <w:rsid w:val="00416A0B"/>
    <w:rsid w:val="00424717"/>
    <w:rsid w:val="00455BF0"/>
    <w:rsid w:val="004A5552"/>
    <w:rsid w:val="004D413D"/>
    <w:rsid w:val="004E7D62"/>
    <w:rsid w:val="005006F3"/>
    <w:rsid w:val="00532E79"/>
    <w:rsid w:val="00551AD4"/>
    <w:rsid w:val="00561546"/>
    <w:rsid w:val="0059423C"/>
    <w:rsid w:val="005A0711"/>
    <w:rsid w:val="005A19A3"/>
    <w:rsid w:val="005A416F"/>
    <w:rsid w:val="005E30F0"/>
    <w:rsid w:val="0061498F"/>
    <w:rsid w:val="0061581D"/>
    <w:rsid w:val="00625923"/>
    <w:rsid w:val="00626367"/>
    <w:rsid w:val="00632440"/>
    <w:rsid w:val="00650602"/>
    <w:rsid w:val="006736F0"/>
    <w:rsid w:val="00687E97"/>
    <w:rsid w:val="00691BE5"/>
    <w:rsid w:val="007342D3"/>
    <w:rsid w:val="00743290"/>
    <w:rsid w:val="00761F56"/>
    <w:rsid w:val="007631CB"/>
    <w:rsid w:val="007939D5"/>
    <w:rsid w:val="00796372"/>
    <w:rsid w:val="007A0482"/>
    <w:rsid w:val="007A3D1D"/>
    <w:rsid w:val="007B3191"/>
    <w:rsid w:val="00822794"/>
    <w:rsid w:val="00830F76"/>
    <w:rsid w:val="00865004"/>
    <w:rsid w:val="00866F62"/>
    <w:rsid w:val="00870A6D"/>
    <w:rsid w:val="00886C0A"/>
    <w:rsid w:val="00887346"/>
    <w:rsid w:val="00893776"/>
    <w:rsid w:val="008B4CA8"/>
    <w:rsid w:val="008C27B0"/>
    <w:rsid w:val="00914E65"/>
    <w:rsid w:val="009170AC"/>
    <w:rsid w:val="009362EB"/>
    <w:rsid w:val="00960F4C"/>
    <w:rsid w:val="009908C2"/>
    <w:rsid w:val="009D7EE0"/>
    <w:rsid w:val="009E58BD"/>
    <w:rsid w:val="009F7539"/>
    <w:rsid w:val="00A15256"/>
    <w:rsid w:val="00A45C16"/>
    <w:rsid w:val="00A94103"/>
    <w:rsid w:val="00AB5D72"/>
    <w:rsid w:val="00AC194C"/>
    <w:rsid w:val="00AC6ABD"/>
    <w:rsid w:val="00AE2B65"/>
    <w:rsid w:val="00AF7527"/>
    <w:rsid w:val="00B34C52"/>
    <w:rsid w:val="00B360F0"/>
    <w:rsid w:val="00B56D23"/>
    <w:rsid w:val="00B65345"/>
    <w:rsid w:val="00C302AF"/>
    <w:rsid w:val="00C60412"/>
    <w:rsid w:val="00C60EE5"/>
    <w:rsid w:val="00C632E6"/>
    <w:rsid w:val="00C6760C"/>
    <w:rsid w:val="00CE17AA"/>
    <w:rsid w:val="00CE1BA2"/>
    <w:rsid w:val="00D01500"/>
    <w:rsid w:val="00D44214"/>
    <w:rsid w:val="00D567B8"/>
    <w:rsid w:val="00D92C4C"/>
    <w:rsid w:val="00D9673A"/>
    <w:rsid w:val="00DA6742"/>
    <w:rsid w:val="00DB4F8E"/>
    <w:rsid w:val="00DC6524"/>
    <w:rsid w:val="00DD164F"/>
    <w:rsid w:val="00DD585E"/>
    <w:rsid w:val="00DD7502"/>
    <w:rsid w:val="00DD794D"/>
    <w:rsid w:val="00DE09B7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EE7BD1"/>
    <w:rsid w:val="00F04845"/>
    <w:rsid w:val="00F2633E"/>
    <w:rsid w:val="00F34A02"/>
    <w:rsid w:val="00FC2E8A"/>
    <w:rsid w:val="00FC7864"/>
    <w:rsid w:val="00FC7E26"/>
    <w:rsid w:val="07910E96"/>
    <w:rsid w:val="16703D24"/>
    <w:rsid w:val="24457704"/>
    <w:rsid w:val="345401E8"/>
    <w:rsid w:val="415F3F76"/>
    <w:rsid w:val="462634E3"/>
    <w:rsid w:val="48EB7FCA"/>
    <w:rsid w:val="4FA14F27"/>
    <w:rsid w:val="517D267B"/>
    <w:rsid w:val="5DF80B05"/>
    <w:rsid w:val="660E026F"/>
    <w:rsid w:val="68DE2ECD"/>
    <w:rsid w:val="7977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4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5"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7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8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6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8"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9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2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8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footnote text"/>
    <w:basedOn w:val="1"/>
    <w:link w:val="54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16">
    <w:name w:val="Body Text 2"/>
    <w:basedOn w:val="1"/>
    <w:link w:val="37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7">
    <w:name w:val="HTML Preformatted"/>
    <w:basedOn w:val="1"/>
    <w:link w:val="4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annotation subject"/>
    <w:basedOn w:val="8"/>
    <w:next w:val="8"/>
    <w:link w:val="46"/>
    <w:autoRedefine/>
    <w:semiHidden/>
    <w:qFormat/>
    <w:uiPriority w:val="0"/>
    <w:rPr>
      <w:b/>
      <w:bCs/>
    </w:rPr>
  </w:style>
  <w:style w:type="table" w:styleId="20">
    <w:name w:val="Table Grid"/>
    <w:basedOn w:val="19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autoRedefine/>
    <w:qFormat/>
    <w:uiPriority w:val="0"/>
  </w:style>
  <w:style w:type="character" w:styleId="23">
    <w:name w:val="FollowedHyperlink"/>
    <w:qFormat/>
    <w:uiPriority w:val="0"/>
    <w:rPr>
      <w:color w:val="800080"/>
      <w:u w:val="single"/>
    </w:rPr>
  </w:style>
  <w:style w:type="character" w:styleId="24">
    <w:name w:val="Emphasis"/>
    <w:basedOn w:val="21"/>
    <w:autoRedefine/>
    <w:qFormat/>
    <w:uiPriority w:val="0"/>
    <w:rPr>
      <w:i/>
      <w:iCs/>
    </w:rPr>
  </w:style>
  <w:style w:type="character" w:styleId="25">
    <w:name w:val="Hyperlink"/>
    <w:qFormat/>
    <w:uiPriority w:val="0"/>
    <w:rPr>
      <w:color w:val="0000FF"/>
      <w:u w:val="single"/>
    </w:rPr>
  </w:style>
  <w:style w:type="character" w:styleId="26">
    <w:name w:val="annotation reference"/>
    <w:semiHidden/>
    <w:qFormat/>
    <w:uiPriority w:val="0"/>
    <w:rPr>
      <w:sz w:val="21"/>
      <w:szCs w:val="21"/>
    </w:rPr>
  </w:style>
  <w:style w:type="character" w:styleId="27">
    <w:name w:val="footnote reference"/>
    <w:basedOn w:val="21"/>
    <w:semiHidden/>
    <w:qFormat/>
    <w:uiPriority w:val="0"/>
    <w:rPr>
      <w:vertAlign w:val="superscript"/>
    </w:rPr>
  </w:style>
  <w:style w:type="character" w:customStyle="1" w:styleId="28">
    <w:name w:val="批注框文本 Char"/>
    <w:basedOn w:val="21"/>
    <w:link w:val="12"/>
    <w:semiHidden/>
    <w:qFormat/>
    <w:uiPriority w:val="99"/>
    <w:rPr>
      <w:sz w:val="18"/>
      <w:szCs w:val="18"/>
    </w:rPr>
  </w:style>
  <w:style w:type="character" w:customStyle="1" w:styleId="29">
    <w:name w:val="页眉 Char"/>
    <w:basedOn w:val="21"/>
    <w:link w:val="14"/>
    <w:semiHidden/>
    <w:qFormat/>
    <w:uiPriority w:val="0"/>
    <w:rPr>
      <w:sz w:val="18"/>
      <w:szCs w:val="18"/>
    </w:rPr>
  </w:style>
  <w:style w:type="character" w:customStyle="1" w:styleId="30">
    <w:name w:val="页脚 Char"/>
    <w:basedOn w:val="21"/>
    <w:link w:val="13"/>
    <w:qFormat/>
    <w:uiPriority w:val="99"/>
    <w:rPr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2">
    <w:name w:val="日期 Char"/>
    <w:basedOn w:val="21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3">
    <w:name w:val="标题 1 Char"/>
    <w:basedOn w:val="21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4">
    <w:name w:val="标题 2 Char"/>
    <w:basedOn w:val="21"/>
    <w:link w:val="3"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5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6">
    <w:name w:val="批注文字 Char"/>
    <w:basedOn w:val="21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7">
    <w:name w:val="正文文本 2 Char"/>
    <w:basedOn w:val="21"/>
    <w:link w:val="16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8">
    <w:name w:val="正文文本 Char"/>
    <w:basedOn w:val="21"/>
    <w:link w:val="9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9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40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41">
    <w:name w:val="HTML 预设格式 Char"/>
    <w:basedOn w:val="21"/>
    <w:link w:val="17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3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4">
    <w:name w:val="段"/>
    <w:link w:val="5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5">
    <w:name w:val="列项——"/>
    <w:qFormat/>
    <w:uiPriority w:val="0"/>
    <w:pPr>
      <w:widowControl w:val="0"/>
      <w:numPr>
        <w:ilvl w:val="0"/>
        <w:numId w:val="2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6">
    <w:name w:val="批注主题 Char"/>
    <w:basedOn w:val="36"/>
    <w:link w:val="18"/>
    <w:semiHidden/>
    <w:qFormat/>
    <w:uiPriority w:val="0"/>
    <w:rPr>
      <w:b/>
      <w:bCs/>
    </w:rPr>
  </w:style>
  <w:style w:type="character" w:customStyle="1" w:styleId="47">
    <w:name w:val="标题 5 Char"/>
    <w:basedOn w:val="21"/>
    <w:link w:val="6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8">
    <w:name w:val="标题 7 Char"/>
    <w:basedOn w:val="21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9">
    <w:name w:val="正文文本缩进 Char"/>
    <w:basedOn w:val="21"/>
    <w:link w:val="10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51">
    <w:name w:val="Char Char3"/>
    <w:qFormat/>
    <w:uiPriority w:val="0"/>
    <w:rPr>
      <w:kern w:val="2"/>
      <w:sz w:val="18"/>
      <w:szCs w:val="18"/>
      <w:lang w:val="de-DE"/>
    </w:rPr>
  </w:style>
  <w:style w:type="paragraph" w:customStyle="1" w:styleId="52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  <w:style w:type="character" w:customStyle="1" w:styleId="53">
    <w:name w:val="段 Char"/>
    <w:basedOn w:val="21"/>
    <w:link w:val="44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54">
    <w:name w:val="脚注文本 Char"/>
    <w:basedOn w:val="21"/>
    <w:link w:val="15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55">
    <w:name w:val="apple-style-span"/>
    <w:basedOn w:val="21"/>
    <w:qFormat/>
    <w:uiPriority w:val="0"/>
  </w:style>
  <w:style w:type="character" w:customStyle="1" w:styleId="56">
    <w:name w:val="apple-converted-space"/>
    <w:basedOn w:val="2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2320</Words>
  <Characters>2449</Characters>
  <Lines>43</Lines>
  <Paragraphs>12</Paragraphs>
  <TotalTime>0</TotalTime>
  <ScaleCrop>false</ScaleCrop>
  <LinksUpToDate>false</LinksUpToDate>
  <CharactersWithSpaces>3112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2025-06-10T09:20:36Z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59F172453BAF472F9B31A0B7923A53B1_12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