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</w:t>
      </w:r>
      <w:r>
        <w:rPr>
          <w:rFonts w:hint="eastAsia"/>
          <w:b/>
          <w:sz w:val="52"/>
          <w:szCs w:val="52"/>
          <w:lang w:val="en-US" w:eastAsia="zh-CN"/>
        </w:rPr>
        <w:t>再</w:t>
      </w:r>
      <w:r>
        <w:rPr>
          <w:rFonts w:hint="eastAsia"/>
          <w:b/>
          <w:sz w:val="52"/>
          <w:szCs w:val="52"/>
        </w:rPr>
        <w:t>认证农场调查表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（蜜蜂养殖）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</w:t>
      </w:r>
      <w:r>
        <w:rPr>
          <w:rFonts w:hint="eastAsia" w:ascii="宋体" w:hAnsi="宋体"/>
          <w:sz w:val="28"/>
          <w:szCs w:val="28"/>
          <w:lang w:val="en-US" w:eastAsia="zh-CN"/>
        </w:rPr>
        <w:t>蜜蜂养殖</w:t>
      </w:r>
      <w:r>
        <w:rPr>
          <w:rFonts w:hint="eastAsia" w:ascii="宋体" w:hAnsi="宋体"/>
          <w:sz w:val="28"/>
          <w:szCs w:val="28"/>
        </w:rPr>
        <w:t>及其产品简单处理。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1、基地名称与地址</w:t>
      </w:r>
    </w:p>
    <w:tbl>
      <w:tblPr>
        <w:tblStyle w:val="2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1.1</w:t>
            </w:r>
            <w:r>
              <w:rPr>
                <w:rFonts w:hint="eastAsia" w:ascii="宋体" w:hAnsi="宋体"/>
                <w:color w:val="000000"/>
                <w:szCs w:val="21"/>
              </w:rPr>
              <w:t>生产单元（基地）地址是否变更？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如是，请填写新的生产单元（基地）地址：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生产基地范围是否变更？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如是，请详细描述变更情况或提供相关文件：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宋体" w:hAnsi="宋体"/>
                <w:lang w:val="en-US"/>
              </w:rPr>
            </w:pPr>
            <w:r>
              <w:rPr>
                <w:rFonts w:hint="eastAsia" w:ascii="宋体" w:hAnsi="宋体"/>
                <w:lang w:val="en-US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val="en-US"/>
              </w:rPr>
              <w:t>生产组织模式</w:t>
            </w:r>
            <w:r>
              <w:rPr>
                <w:rFonts w:hint="eastAsia" w:ascii="宋体" w:hAnsi="宋体"/>
                <w:color w:val="000000"/>
                <w:szCs w:val="21"/>
              </w:rPr>
              <w:t>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</w:t>
            </w:r>
            <w:r>
              <w:rPr>
                <w:rFonts w:hint="eastAsia" w:ascii="宋体" w:hAnsi="宋体"/>
                <w:color w:val="000000"/>
              </w:rPr>
              <w:t>描述</w:t>
            </w:r>
            <w:r>
              <w:rPr>
                <w:rFonts w:hint="eastAsia" w:ascii="宋体" w:hAnsi="宋体"/>
                <w:color w:val="000000"/>
                <w:szCs w:val="21"/>
              </w:rPr>
              <w:t>新的生产组织模式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黑体" w:eastAsia="黑体"/>
                <w:color w:val="000000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</w:tbl>
    <w:tbl>
      <w:tblPr>
        <w:tblStyle w:val="26"/>
        <w:tblpPr w:leftFromText="180" w:rightFromText="180" w:vertAnchor="text" w:horzAnchor="page" w:tblpX="1087" w:tblpY="468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650"/>
        <w:gridCol w:w="1561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9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t>是</w:t>
            </w:r>
            <w:r>
              <w:rPr>
                <w:rFonts w:hint="eastAsia"/>
                <w:lang w:val="en-US" w:eastAsia="zh-CN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r>
              <w:t>1</w:t>
            </w:r>
          </w:p>
        </w:tc>
        <w:tc>
          <w:tcPr>
            <w:tcW w:w="3650" w:type="dxa"/>
            <w:vAlign w:val="center"/>
          </w:tcPr>
          <w:p>
            <w:r>
              <w:t>质量管理手册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9" w:type="dxa"/>
            <w:vAlign w:val="center"/>
          </w:tcPr>
          <w:p>
            <w:r>
              <w:t>2</w:t>
            </w:r>
          </w:p>
        </w:tc>
        <w:tc>
          <w:tcPr>
            <w:tcW w:w="3650" w:type="dxa"/>
            <w:vAlign w:val="center"/>
          </w:tcPr>
          <w:p>
            <w:r>
              <w:rPr>
                <w:rFonts w:hint="eastAsia"/>
              </w:rPr>
              <w:t>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</w:tbl>
    <w:p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2、</w:t>
      </w:r>
      <w:r>
        <w:rPr>
          <w:rFonts w:ascii="黑体" w:eastAsia="黑体"/>
          <w:color w:val="000000"/>
          <w:szCs w:val="21"/>
        </w:rPr>
        <w:t>质量管理文件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</w:rPr>
      </w:pPr>
      <w:r>
        <w:rPr>
          <w:rFonts w:hint="eastAsia" w:ascii="黑体" w:eastAsia="黑体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hint="eastAsia" w:ascii="黑体" w:eastAsia="黑体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hint="eastAsia" w:ascii="黑体" w:eastAsia="黑体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hint="eastAsia" w:ascii="黑体" w:eastAsia="黑体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>
        <w:rPr>
          <w:rFonts w:hint="eastAsia" w:ascii="黑体" w:eastAsia="黑体"/>
          <w:color w:val="000000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color w:val="000000"/>
        </w:rPr>
        <w:t>不涉及</w:t>
      </w:r>
    </w:p>
    <w:tbl>
      <w:tblPr>
        <w:tblStyle w:val="2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499"/>
        <w:gridCol w:w="1650"/>
        <w:gridCol w:w="140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 xml:space="preserve">第二部分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蜜蜂</w:t>
      </w:r>
      <w:r>
        <w:rPr>
          <w:rFonts w:hint="eastAsia" w:ascii="黑体" w:eastAsia="黑体"/>
          <w:b/>
          <w:color w:val="000000"/>
          <w:sz w:val="28"/>
        </w:rPr>
        <w:t>养殖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1、蜂场</w:t>
      </w:r>
    </w:p>
    <w:tbl>
      <w:tblPr>
        <w:tblStyle w:val="26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61" w:type="dxa"/>
            <w:gridSpan w:val="2"/>
          </w:tcPr>
          <w:p>
            <w:pPr>
              <w:pStyle w:val="44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1.1场址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51" w:type="dxa"/>
            <w:vAlign w:val="center"/>
          </w:tcPr>
          <w:p>
            <w:pPr>
              <w:pStyle w:val="44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蜂场环境</w:t>
            </w:r>
          </w:p>
        </w:tc>
        <w:tc>
          <w:tcPr>
            <w:tcW w:w="8010" w:type="dxa"/>
          </w:tcPr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远离□粉尘 □居民点 □繁忙交通干道 □化工厂；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符合□地势高燥□背风向阳 □无有害气体 □无烟雾 □无其它污染物 □排水良好 □小气候适宜的地方。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定地饲养的蜂场间的间隔应不小于3 km；□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在离蜂场半径5 km的范围是否存在（若是点选）：□农药厂</w:t>
            </w: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□农药仓库和以蜜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□糖为原料的食品厂。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蜂场（包括采蜜区）空气质量</w:t>
            </w:r>
          </w:p>
        </w:tc>
        <w:tc>
          <w:tcPr>
            <w:tcW w:w="8010" w:type="dxa"/>
          </w:tcPr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空气中各种污染物的浓度限值应符合GB 3095中二类区（执行2级标准）的要求：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蜂场附近水源</w:t>
            </w:r>
          </w:p>
        </w:tc>
        <w:tc>
          <w:tcPr>
            <w:tcW w:w="8010" w:type="dxa"/>
          </w:tcPr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水质应符合NY 5027中幼畜饮用水标准。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转地路线、平面布局图、运输</w:t>
            </w:r>
          </w:p>
        </w:tc>
        <w:tc>
          <w:tcPr>
            <w:tcW w:w="8010" w:type="dxa"/>
          </w:tcPr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若为转地蜂场，应有标明全部养蜂场所的蜂场分布图。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定地饲养的蜂场应有标著养蜂场所的地理位置示意图。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出示年度更新的蜂场分布图，标明蜂场名称（或编号）所在的地理位置。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制作与之相对应的年度更新的蜂场统计表，表明蜂场名称（或编号）、地点、蜜粉源植物、蜂群数量、蜜蜂产品名称及其预计数量、负责人等信息。</w:t>
            </w:r>
          </w:p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布局图是否包括以下信息（是点选）：</w:t>
            </w:r>
          </w:p>
          <w:p>
            <w:pPr>
              <w:spacing w:line="360" w:lineRule="auto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周围环境的描述，例如周边农药厂、化工厂、食品厂等，以及水源、蜜粉源植被分布；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主要区域、入口位置；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主要设施和设备位置；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蜂群（箱）位置及其编号。</w:t>
            </w:r>
          </w:p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转地饲养蜂场应表明转地路线。</w:t>
            </w:r>
          </w:p>
          <w:p>
            <w:pPr>
              <w:pStyle w:val="31"/>
              <w:spacing w:line="360" w:lineRule="auto"/>
              <w:ind w:left="42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出示包含每个蜂场转地饲养的转地路线、转运方式、日期和蜜粉源植物花期、长势、流蜜状况等信息的书面材料。</w:t>
            </w:r>
          </w:p>
          <w:p>
            <w:pPr>
              <w:pStyle w:val="31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运输途中的管理应符合：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做好运前调整群势、食料、包装等准备； </w:t>
            </w:r>
          </w:p>
          <w:p>
            <w:pPr>
              <w:autoSpaceDE w:val="0"/>
              <w:autoSpaceDN w:val="0"/>
              <w:spacing w:line="360" w:lineRule="auto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在装运蜂群之前对运输线路、装运蜂群的车、船等交通工具的安全性和相关事项有评估预案；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不能用被农兽药及有毒有害物质污染的车、船等运输工具，装运蜂群；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1.2蜜粉源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蜜粉源植物</w:t>
            </w:r>
          </w:p>
        </w:tc>
        <w:tc>
          <w:tcPr>
            <w:tcW w:w="8010" w:type="dxa"/>
            <w:shd w:val="clear" w:color="auto" w:fill="auto"/>
            <w:vAlign w:val="top"/>
          </w:tcPr>
          <w:p>
            <w:pPr>
              <w:pStyle w:val="31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距蜂场3 km范围内具备较丰富的蜜粉源植物；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4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定地蜂场附近至少要有一种以上主要蜜粉源植物和种类较多、花期交错的辅助蜜粉源植物。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是，主要蜜粉源植物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半径5 km范围内是否存在有毒蜜粉植物</w:t>
            </w:r>
          </w:p>
        </w:tc>
        <w:tc>
          <w:tcPr>
            <w:tcW w:w="8010" w:type="dxa"/>
            <w:shd w:val="clear" w:color="auto" w:fill="auto"/>
            <w:vAlign w:val="top"/>
          </w:tcPr>
          <w:p>
            <w:pPr>
              <w:pStyle w:val="31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是否列出蜂场半径5 km范围内有毒蜜粉植物名称及其开花期一览表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针对有毒蜜粉源所采取的主要应对措施：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pStyle w:val="31"/>
              <w:numPr>
                <w:ilvl w:val="0"/>
                <w:numId w:val="6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主要有毒蜜粉植物有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防止蜂群农药中毒</w:t>
            </w:r>
          </w:p>
        </w:tc>
        <w:tc>
          <w:tcPr>
            <w:tcW w:w="8010" w:type="dxa"/>
            <w:shd w:val="clear" w:color="auto" w:fill="auto"/>
            <w:vAlign w:val="top"/>
          </w:tcPr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蜂场管理者是否与当地农民建立良好关系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否；</w:t>
            </w:r>
          </w:p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蜂场管理者是否与当地农户保持有效的沟通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否；</w:t>
            </w:r>
          </w:p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蜂场是否能及时获得蜜粉源植物用药情况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否；</w:t>
            </w:r>
          </w:p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养蜂者到达蜜粉源植物种植区放蜂时，是否告知周边3 km以内的村级组织或管理单位，在放蜂区种植蜜粉源植物的单位和个人，应当避免在盛花期施用农药。确需施用农药时，应当选用对蜜蜂低毒的农药品种；□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养蜂者是否了解主要流蜜期大宗农作物农药防治情况（包括用药时间、用药习惯等），避开农药使用期，以免发生农药中毒；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9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养蜂者接到农药施用作业通知后应当相互告知，是否及时采取安全防范措施。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2、养蜂机具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430"/>
        <w:gridCol w:w="1680"/>
        <w:gridCol w:w="3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材质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3、引种</w:t>
      </w:r>
    </w:p>
    <w:tbl>
      <w:tblPr>
        <w:tblStyle w:val="26"/>
        <w:tblW w:w="99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702"/>
        <w:gridCol w:w="4066"/>
        <w:gridCol w:w="2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引入蜂群/蜂王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品种</w:t>
            </w:r>
          </w:p>
        </w:tc>
        <w:tc>
          <w:tcPr>
            <w:tcW w:w="4066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来源</w:t>
            </w: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66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4、饲喂管理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078"/>
        <w:gridCol w:w="1896"/>
        <w:gridCol w:w="1556"/>
        <w:gridCol w:w="2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1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4.1饲料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饲料种类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饲料来源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饲喂类型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饲喂时间</w:t>
            </w:r>
          </w:p>
        </w:tc>
        <w:tc>
          <w:tcPr>
            <w:tcW w:w="27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饲料需求量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5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1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4.2饮水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水源类型</w:t>
            </w:r>
          </w:p>
        </w:tc>
        <w:tc>
          <w:tcPr>
            <w:tcW w:w="82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水源分布描述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88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5、用药管理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8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常见疾病种类</w:t>
            </w:r>
          </w:p>
        </w:tc>
        <w:tc>
          <w:tcPr>
            <w:tcW w:w="812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常用的治疗方式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12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12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6、场地和设备清洁和消毒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771"/>
        <w:gridCol w:w="1295"/>
        <w:gridCol w:w="239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清洁、消毒种类</w:t>
            </w:r>
          </w:p>
        </w:tc>
        <w:tc>
          <w:tcPr>
            <w:tcW w:w="17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作业范围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作业频率</w:t>
            </w: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作业方式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投入物名称、浓度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9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9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7、产品销售和认证标识使用情况</w:t>
      </w:r>
    </w:p>
    <w:tbl>
      <w:tblPr>
        <w:tblStyle w:val="26"/>
        <w:tblW w:w="99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298"/>
        <w:gridCol w:w="1263"/>
        <w:gridCol w:w="1642"/>
        <w:gridCol w:w="2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32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主要市场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销售量</w:t>
            </w:r>
          </w:p>
        </w:tc>
        <w:tc>
          <w:tcPr>
            <w:tcW w:w="16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使用认证标识</w:t>
            </w:r>
          </w:p>
        </w:tc>
        <w:tc>
          <w:tcPr>
            <w:tcW w:w="23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8、年度生产计划</w:t>
      </w:r>
    </w:p>
    <w:p>
      <w:pPr>
        <w:tabs>
          <w:tab w:val="left" w:pos="567"/>
        </w:tabs>
        <w:spacing w:line="360" w:lineRule="auto"/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</w:rPr>
        <w:t>是否制定了养殖年度GAP生产计划（具体养殖计划）等：□是 ，请附件   □否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1、GAP认证证书与标识使用情况</w:t>
      </w:r>
    </w:p>
    <w:tbl>
      <w:tblPr>
        <w:tblStyle w:val="26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2、质量管理体系情况调查</w:t>
      </w:r>
    </w:p>
    <w:tbl>
      <w:tblPr>
        <w:tblStyle w:val="26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3、资源管理</w:t>
      </w:r>
    </w:p>
    <w:tbl>
      <w:tblPr>
        <w:tblStyle w:val="26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tabs>
          <w:tab w:val="left" w:pos="567"/>
        </w:tabs>
        <w:spacing w:line="360" w:lineRule="auto"/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产品标准的需要。同时我也知道，即使本调查内容经审查得到通过，并不意味着申报产品通过了GAP产品认证。</w:t>
      </w: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</w:t>
      </w:r>
      <w:r>
        <w:rPr>
          <w:b/>
          <w:sz w:val="24"/>
          <w:u w:val="single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3"/>
          <w:rFonts w:ascii="宋体" w:hAnsi="宋体"/>
          <w:szCs w:val="21"/>
          <w:lang w:val="de-DE"/>
        </w:rPr>
        <w:t>www.</w:t>
      </w:r>
      <w:r>
        <w:rPr>
          <w:rStyle w:val="23"/>
          <w:rFonts w:hint="eastAsia" w:ascii="宋体" w:hAnsi="宋体"/>
          <w:szCs w:val="21"/>
          <w:lang w:val="de-DE"/>
        </w:rPr>
        <w:t>obt-int</w:t>
      </w:r>
      <w:r>
        <w:rPr>
          <w:rStyle w:val="23"/>
          <w:rFonts w:ascii="宋体" w:hAnsi="宋体"/>
          <w:szCs w:val="21"/>
          <w:lang w:val="de-DE"/>
        </w:rPr>
        <w:t>.c</w:t>
      </w:r>
      <w:r>
        <w:rPr>
          <w:rStyle w:val="23"/>
          <w:rFonts w:hint="eastAsia" w:ascii="宋体" w:hAnsi="宋体"/>
          <w:szCs w:val="21"/>
          <w:lang w:val="de-DE"/>
        </w:rPr>
        <w:t>om</w:t>
      </w:r>
      <w:r>
        <w:rPr>
          <w:rStyle w:val="23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ista Sans OT Reg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285115" cy="182245"/>
          <wp:effectExtent l="0" t="0" r="6985" b="8255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>0</w:t>
    </w:r>
    <w:r>
      <w:rPr>
        <w:rFonts w:hint="eastAsia" w:ascii="宋体" w:hAnsi="宋体"/>
        <w:sz w:val="18"/>
        <w:szCs w:val="18"/>
        <w:lang w:val="en-US" w:eastAsia="zh-CN"/>
      </w:rPr>
      <w:t>6</w:t>
    </w:r>
    <w:r>
      <w:rPr>
        <w:rFonts w:hint="eastAsia" w:ascii="宋体" w:hAnsi="宋体"/>
        <w:sz w:val="18"/>
        <w:szCs w:val="18"/>
      </w:rPr>
      <w:t xml:space="preserve">-4   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hint="eastAsia" w:ascii="宋体" w:hAnsi="宋体"/>
        <w:sz w:val="18"/>
        <w:szCs w:val="18"/>
        <w:lang w:val="en-US" w:eastAsia="zh-CN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hint="eastAsia" w:ascii="宋体" w:hAnsi="宋体"/>
        <w:sz w:val="18"/>
        <w:szCs w:val="18"/>
        <w:lang w:val="en-US" w:eastAsia="zh-CN"/>
      </w:rPr>
      <w:t xml:space="preserve">   </w:t>
    </w:r>
    <w:r>
      <w:rPr>
        <w:rFonts w:hint="eastAsia" w:ascii="宋体" w:hAnsi="宋体"/>
        <w:sz w:val="18"/>
        <w:szCs w:val="18"/>
      </w:rPr>
      <w:t xml:space="preserve">      版本： 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     </w:t>
    </w:r>
    <w:r>
      <w:rPr>
        <w:rFonts w:hint="eastAsia" w:ascii="宋体" w:hAnsi="宋体"/>
        <w:sz w:val="18"/>
        <w:szCs w:val="18"/>
      </w:rPr>
      <w:t xml:space="preserve">      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1653D46"/>
    <w:multiLevelType w:val="multilevel"/>
    <w:tmpl w:val="31653D4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7CC57C3"/>
    <w:multiLevelType w:val="multilevel"/>
    <w:tmpl w:val="37CC57C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A6334F1"/>
    <w:multiLevelType w:val="multilevel"/>
    <w:tmpl w:val="3A6334F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733618"/>
    <w:multiLevelType w:val="multilevel"/>
    <w:tmpl w:val="3D733618"/>
    <w:lvl w:ilvl="0" w:tentative="0">
      <w:start w:val="1"/>
      <w:numFmt w:val="decimal"/>
      <w:pStyle w:val="16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5">
    <w:nsid w:val="3F462873"/>
    <w:multiLevelType w:val="multilevel"/>
    <w:tmpl w:val="3F4628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9493471"/>
    <w:multiLevelType w:val="multilevel"/>
    <w:tmpl w:val="4949347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6A382BBB"/>
    <w:multiLevelType w:val="multilevel"/>
    <w:tmpl w:val="6A382BB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6933334"/>
    <w:multiLevelType w:val="multilevel"/>
    <w:tmpl w:val="76933334"/>
    <w:lvl w:ilvl="0" w:tentative="0">
      <w:start w:val="1"/>
      <w:numFmt w:val="none"/>
      <w:pStyle w:val="4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FF2"/>
    <w:rsid w:val="00020F21"/>
    <w:rsid w:val="00055BFE"/>
    <w:rsid w:val="00057E1B"/>
    <w:rsid w:val="00085D27"/>
    <w:rsid w:val="000A24BB"/>
    <w:rsid w:val="000A26DF"/>
    <w:rsid w:val="000A52F5"/>
    <w:rsid w:val="000A78C0"/>
    <w:rsid w:val="000B4FAA"/>
    <w:rsid w:val="000B790C"/>
    <w:rsid w:val="000C5094"/>
    <w:rsid w:val="00106296"/>
    <w:rsid w:val="00112698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07540"/>
    <w:rsid w:val="00332E8C"/>
    <w:rsid w:val="0033737B"/>
    <w:rsid w:val="00341A3B"/>
    <w:rsid w:val="00367360"/>
    <w:rsid w:val="00371BB6"/>
    <w:rsid w:val="00380751"/>
    <w:rsid w:val="0038295B"/>
    <w:rsid w:val="003C6222"/>
    <w:rsid w:val="003C77E0"/>
    <w:rsid w:val="003E5D7D"/>
    <w:rsid w:val="00416A0B"/>
    <w:rsid w:val="00424717"/>
    <w:rsid w:val="00455BF0"/>
    <w:rsid w:val="004A5552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1581D"/>
    <w:rsid w:val="00625923"/>
    <w:rsid w:val="00626367"/>
    <w:rsid w:val="00632440"/>
    <w:rsid w:val="00650602"/>
    <w:rsid w:val="006736F0"/>
    <w:rsid w:val="00687E97"/>
    <w:rsid w:val="00691BE5"/>
    <w:rsid w:val="007342D3"/>
    <w:rsid w:val="00743290"/>
    <w:rsid w:val="00761F56"/>
    <w:rsid w:val="007631CB"/>
    <w:rsid w:val="007939D5"/>
    <w:rsid w:val="00796372"/>
    <w:rsid w:val="007A0482"/>
    <w:rsid w:val="007A3D1D"/>
    <w:rsid w:val="007B3191"/>
    <w:rsid w:val="00822794"/>
    <w:rsid w:val="00830F76"/>
    <w:rsid w:val="00865004"/>
    <w:rsid w:val="00866F62"/>
    <w:rsid w:val="00870A6D"/>
    <w:rsid w:val="00886C0A"/>
    <w:rsid w:val="00887346"/>
    <w:rsid w:val="00893776"/>
    <w:rsid w:val="008B4CA8"/>
    <w:rsid w:val="008C27B0"/>
    <w:rsid w:val="00914E65"/>
    <w:rsid w:val="009170AC"/>
    <w:rsid w:val="009362EB"/>
    <w:rsid w:val="00960F4C"/>
    <w:rsid w:val="009908C2"/>
    <w:rsid w:val="009D7EE0"/>
    <w:rsid w:val="009E58BD"/>
    <w:rsid w:val="009F7539"/>
    <w:rsid w:val="00A15256"/>
    <w:rsid w:val="00A45C16"/>
    <w:rsid w:val="00A94103"/>
    <w:rsid w:val="00AB5D72"/>
    <w:rsid w:val="00AC194C"/>
    <w:rsid w:val="00AC6ABD"/>
    <w:rsid w:val="00AE2B65"/>
    <w:rsid w:val="00AF7527"/>
    <w:rsid w:val="00B34C52"/>
    <w:rsid w:val="00B360F0"/>
    <w:rsid w:val="00B56D23"/>
    <w:rsid w:val="00B65345"/>
    <w:rsid w:val="00C302AF"/>
    <w:rsid w:val="00C60412"/>
    <w:rsid w:val="00C60EE5"/>
    <w:rsid w:val="00C632E6"/>
    <w:rsid w:val="00C6760C"/>
    <w:rsid w:val="00CE17AA"/>
    <w:rsid w:val="00CE1BA2"/>
    <w:rsid w:val="00D01500"/>
    <w:rsid w:val="00D44214"/>
    <w:rsid w:val="00D567B8"/>
    <w:rsid w:val="00D92C4C"/>
    <w:rsid w:val="00D9673A"/>
    <w:rsid w:val="00DA6742"/>
    <w:rsid w:val="00DB4F8E"/>
    <w:rsid w:val="00DC6524"/>
    <w:rsid w:val="00DD164F"/>
    <w:rsid w:val="00DD585E"/>
    <w:rsid w:val="00DD7502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E7BD1"/>
    <w:rsid w:val="00F04845"/>
    <w:rsid w:val="00F2633E"/>
    <w:rsid w:val="00F34A02"/>
    <w:rsid w:val="00FC2E8A"/>
    <w:rsid w:val="00FC7864"/>
    <w:rsid w:val="00FC7E26"/>
    <w:rsid w:val="0D050423"/>
    <w:rsid w:val="3ABA42A7"/>
    <w:rsid w:val="415F3F76"/>
    <w:rsid w:val="517D267B"/>
    <w:rsid w:val="65CD6424"/>
    <w:rsid w:val="797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4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5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7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8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6"/>
    <w:semiHidden/>
    <w:qFormat/>
    <w:uiPriority w:val="0"/>
    <w:rPr>
      <w:b/>
      <w:bCs/>
    </w:rPr>
  </w:style>
  <w:style w:type="paragraph" w:styleId="9">
    <w:name w:val="annotation text"/>
    <w:basedOn w:val="1"/>
    <w:link w:val="36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8"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9"/>
    <w:qFormat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8"/>
    <w:semiHidden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note text"/>
    <w:basedOn w:val="1"/>
    <w:link w:val="54"/>
    <w:uiPriority w:val="0"/>
    <w:pPr>
      <w:numPr>
        <w:ilvl w:val="0"/>
        <w:numId w:val="1"/>
      </w:numPr>
      <w:snapToGrid w:val="0"/>
      <w:jc w:val="left"/>
    </w:pPr>
    <w:rPr>
      <w:rFonts w:ascii="宋体" w:hAnsi="Times New Roman" w:eastAsia="宋体" w:cs="Times New Roman"/>
      <w:sz w:val="18"/>
      <w:szCs w:val="18"/>
    </w:rPr>
  </w:style>
  <w:style w:type="paragraph" w:styleId="17">
    <w:name w:val="Body Text 2"/>
    <w:basedOn w:val="1"/>
    <w:link w:val="37"/>
    <w:uiPriority w:val="0"/>
    <w:rPr>
      <w:rFonts w:ascii="Times New Roman" w:hAnsi="Times New Roman" w:eastAsia="宋体" w:cs="Times New Roman"/>
      <w:sz w:val="24"/>
      <w:szCs w:val="20"/>
    </w:rPr>
  </w:style>
  <w:style w:type="paragraph" w:styleId="18">
    <w:name w:val="HTML Preformatted"/>
    <w:basedOn w:val="1"/>
    <w:link w:val="4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0">
    <w:name w:val="page number"/>
    <w:basedOn w:val="19"/>
    <w:qFormat/>
    <w:uiPriority w:val="0"/>
  </w:style>
  <w:style w:type="character" w:styleId="21">
    <w:name w:val="FollowedHyperlink"/>
    <w:qFormat/>
    <w:uiPriority w:val="0"/>
    <w:rPr>
      <w:color w:val="800080"/>
      <w:u w:val="single"/>
    </w:rPr>
  </w:style>
  <w:style w:type="character" w:styleId="22">
    <w:name w:val="Emphasis"/>
    <w:basedOn w:val="19"/>
    <w:qFormat/>
    <w:uiPriority w:val="0"/>
    <w:rPr>
      <w:i/>
      <w:iCs/>
    </w:rPr>
  </w:style>
  <w:style w:type="character" w:styleId="23">
    <w:name w:val="Hyperlink"/>
    <w:uiPriority w:val="0"/>
    <w:rPr>
      <w:color w:val="0000FF"/>
      <w:u w:val="single"/>
    </w:rPr>
  </w:style>
  <w:style w:type="character" w:styleId="24">
    <w:name w:val="annotation reference"/>
    <w:semiHidden/>
    <w:uiPriority w:val="0"/>
    <w:rPr>
      <w:sz w:val="21"/>
      <w:szCs w:val="21"/>
    </w:rPr>
  </w:style>
  <w:style w:type="character" w:styleId="25">
    <w:name w:val="footnote reference"/>
    <w:basedOn w:val="19"/>
    <w:semiHidden/>
    <w:uiPriority w:val="0"/>
    <w:rPr>
      <w:vertAlign w:val="superscript"/>
    </w:rPr>
  </w:style>
  <w:style w:type="table" w:styleId="27">
    <w:name w:val="Table Grid"/>
    <w:basedOn w:val="2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批注框文本 Char"/>
    <w:basedOn w:val="19"/>
    <w:link w:val="13"/>
    <w:semiHidden/>
    <w:qFormat/>
    <w:uiPriority w:val="99"/>
    <w:rPr>
      <w:sz w:val="18"/>
      <w:szCs w:val="18"/>
    </w:rPr>
  </w:style>
  <w:style w:type="character" w:customStyle="1" w:styleId="29">
    <w:name w:val="页眉 Char"/>
    <w:basedOn w:val="19"/>
    <w:link w:val="15"/>
    <w:semiHidden/>
    <w:qFormat/>
    <w:uiPriority w:val="0"/>
    <w:rPr>
      <w:sz w:val="18"/>
      <w:szCs w:val="18"/>
    </w:rPr>
  </w:style>
  <w:style w:type="character" w:customStyle="1" w:styleId="30">
    <w:name w:val="页脚 Char"/>
    <w:basedOn w:val="19"/>
    <w:link w:val="14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2">
    <w:name w:val="日期 Char"/>
    <w:basedOn w:val="19"/>
    <w:link w:val="12"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3">
    <w:name w:val="标题 1 Char"/>
    <w:basedOn w:val="19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4">
    <w:name w:val="标题 2 Char"/>
    <w:basedOn w:val="19"/>
    <w:link w:val="3"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5">
    <w:name w:val="标题 3 Char"/>
    <w:basedOn w:val="19"/>
    <w:link w:val="5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6">
    <w:name w:val="批注文字 Char"/>
    <w:basedOn w:val="19"/>
    <w:link w:val="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7">
    <w:name w:val="正文文本 2 Char"/>
    <w:basedOn w:val="19"/>
    <w:link w:val="17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8">
    <w:name w:val="正文文本 Char"/>
    <w:basedOn w:val="19"/>
    <w:link w:val="10"/>
    <w:uiPriority w:val="0"/>
    <w:rPr>
      <w:rFonts w:ascii="Times New Roman" w:hAnsi="Times New Roman" w:eastAsia="宋体" w:cs="Times New Roman"/>
      <w:szCs w:val="20"/>
    </w:rPr>
  </w:style>
  <w:style w:type="paragraph" w:customStyle="1" w:styleId="39">
    <w:name w:val="1"/>
    <w:basedOn w:val="1"/>
    <w:uiPriority w:val="0"/>
    <w:rPr>
      <w:rFonts w:ascii="Times New Roman" w:hAnsi="Times New Roman" w:eastAsia="宋体" w:cs="Times New Roman"/>
      <w:szCs w:val="20"/>
    </w:rPr>
  </w:style>
  <w:style w:type="paragraph" w:customStyle="1" w:styleId="40">
    <w:name w:val="Comment Subject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41">
    <w:name w:val="HTML 预设格式 Char"/>
    <w:basedOn w:val="19"/>
    <w:link w:val="18"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Char Char Char Char Char Char Char Char2 Char"/>
    <w:basedOn w:val="1"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3">
    <w:name w:val="Comment Subject1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4">
    <w:name w:val="段"/>
    <w:link w:val="53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5">
    <w:name w:val="列项——"/>
    <w:qFormat/>
    <w:uiPriority w:val="0"/>
    <w:pPr>
      <w:widowControl w:val="0"/>
      <w:numPr>
        <w:ilvl w:val="0"/>
        <w:numId w:val="2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6">
    <w:name w:val="批注主题 Char"/>
    <w:basedOn w:val="36"/>
    <w:link w:val="8"/>
    <w:semiHidden/>
    <w:uiPriority w:val="0"/>
    <w:rPr>
      <w:b/>
      <w:bCs/>
    </w:rPr>
  </w:style>
  <w:style w:type="character" w:customStyle="1" w:styleId="47">
    <w:name w:val="标题 5 Char"/>
    <w:basedOn w:val="19"/>
    <w:link w:val="6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8">
    <w:name w:val="标题 7 Char"/>
    <w:basedOn w:val="19"/>
    <w:link w:val="7"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9">
    <w:name w:val="正文文本缩进 Char"/>
    <w:basedOn w:val="19"/>
    <w:link w:val="11"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50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51">
    <w:name w:val="Char Char3"/>
    <w:uiPriority w:val="0"/>
    <w:rPr>
      <w:kern w:val="2"/>
      <w:sz w:val="18"/>
      <w:szCs w:val="18"/>
      <w:lang w:val="de-DE"/>
    </w:rPr>
  </w:style>
  <w:style w:type="paragraph" w:customStyle="1" w:styleId="52">
    <w:name w:val="Char Ch正文"/>
    <w:basedOn w:val="3"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  <w:style w:type="character" w:customStyle="1" w:styleId="53">
    <w:name w:val="段 Char"/>
    <w:basedOn w:val="19"/>
    <w:link w:val="44"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54">
    <w:name w:val="脚注文本 Char"/>
    <w:basedOn w:val="19"/>
    <w:link w:val="16"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55">
    <w:name w:val="apple-style-span"/>
    <w:basedOn w:val="19"/>
    <w:uiPriority w:val="0"/>
  </w:style>
  <w:style w:type="character" w:customStyle="1" w:styleId="56">
    <w:name w:val="apple-converted-space"/>
    <w:basedOn w:val="1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918</Words>
  <Characters>5236</Characters>
  <Lines>43</Lines>
  <Paragraphs>12</Paragraphs>
  <ScaleCrop>false</ScaleCrop>
  <LinksUpToDate>false</LinksUpToDate>
  <CharactersWithSpaces>6142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2018-01-25T06:31:11Z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